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150DC" w:rsidRPr="009150DC">
            <w:rPr>
              <w:rStyle w:val="Style1"/>
            </w:rPr>
            <w:t>Fu</w:t>
          </w:r>
          <w:r w:rsidR="00FE3648">
            <w:rPr>
              <w:rStyle w:val="Style1"/>
            </w:rPr>
            <w:t xml:space="preserve">nctional Change: Change in </w:t>
          </w:r>
          <w:r w:rsidR="00FA5634">
            <w:rPr>
              <w:rStyle w:val="Style1"/>
            </w:rPr>
            <w:t>Motor</w:t>
          </w:r>
          <w:r w:rsidR="009150DC" w:rsidRPr="009150DC">
            <w:rPr>
              <w:rStyle w:val="Style1"/>
            </w:rPr>
            <w:t xml:space="preserve"> Score</w:t>
          </w:r>
        </w:sdtContent>
      </w:sdt>
    </w:p>
    <w:p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60750">
            <w:rPr>
              <w:rStyle w:val="Style1"/>
            </w:rPr>
            <w:t>Not applicable</w:t>
          </w:r>
        </w:sdtContent>
      </w:sdt>
    </w:p>
    <w:p w:rsidR="00114848" w:rsidRDefault="00114848" w:rsidP="002E2177">
      <w:pPr>
        <w:ind w:left="0" w:firstLine="0"/>
        <w:rPr>
          <w:b/>
          <w:noProof/>
        </w:rPr>
      </w:pPr>
    </w:p>
    <w:p w:rsidR="00176E60" w:rsidRDefault="00496AF8" w:rsidP="002E2177">
      <w:pPr>
        <w:ind w:left="0" w:firstLine="0"/>
        <w:rPr>
          <w:noProof/>
        </w:rPr>
      </w:pPr>
      <w:r w:rsidRPr="00B91F58">
        <w:rPr>
          <w:b/>
          <w:noProof/>
        </w:rPr>
        <w:t>Date of Submission</w:t>
      </w:r>
      <w:r w:rsidRPr="00DA7FA2">
        <w:rPr>
          <w:noProof/>
        </w:rPr>
        <w:t>:</w:t>
      </w:r>
      <w:r w:rsidRPr="00E51798">
        <w:rPr>
          <w:noProof/>
        </w:rPr>
        <w:t xml:space="preserve"> </w:t>
      </w:r>
      <w:r w:rsidR="00460750">
        <w:rPr>
          <w:noProof/>
        </w:rPr>
        <w:t>11/7/14</w:t>
      </w:r>
    </w:p>
    <w:p w:rsidR="00FE3648" w:rsidRDefault="00FE3648" w:rsidP="002E2177">
      <w:pPr>
        <w:ind w:left="0" w:firstLine="0"/>
        <w:rPr>
          <w:rStyle w:val="Style2"/>
        </w:rPr>
      </w:pPr>
    </w:p>
    <w:tbl>
      <w:tblPr>
        <w:tblStyle w:val="TableGrid"/>
        <w:tblW w:w="5500" w:type="pct"/>
        <w:jc w:val="center"/>
        <w:tblLook w:val="04A0" w:firstRow="1" w:lastRow="0" w:firstColumn="1" w:lastColumn="0" w:noHBand="0" w:noVBand="1"/>
      </w:tblPr>
      <w:tblGrid>
        <w:gridCol w:w="12118"/>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9"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2118"/>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Health outcome</w:t>
            </w:r>
            <w:proofErr w:type="gramStart"/>
            <w:r w:rsidRPr="00765156">
              <w:t>:</w:t>
            </w:r>
            <w:proofErr w:type="gramEnd"/>
            <w:r w:rsidR="00D42AB4">
              <w:fldChar w:fldCharType="begin"/>
            </w:r>
            <w:r w:rsidR="00D42AB4">
              <w:instrText xml:space="preserve"> HYPERLINK \l "Note3" </w:instrText>
            </w:r>
            <w:r w:rsidR="00D42AB4">
              <w:fldChar w:fldCharType="separate"/>
            </w:r>
            <w:r w:rsidRPr="00765156">
              <w:rPr>
                <w:rStyle w:val="Hyperlink"/>
                <w:b/>
                <w:vertAlign w:val="superscript"/>
              </w:rPr>
              <w:t>3</w:t>
            </w:r>
            <w:r w:rsidR="00D42AB4">
              <w:rPr>
                <w:rStyle w:val="Hyperlink"/>
                <w:b/>
                <w:vertAlign w:val="superscript"/>
              </w:rPr>
              <w:fldChar w:fldCharType="end"/>
            </w:r>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proofErr w:type="gramStart"/>
            <w:r w:rsidRPr="00765156">
              <w:t>,</w:t>
            </w:r>
            <w:proofErr w:type="gramEnd"/>
            <w:r w:rsidR="00D42AB4">
              <w:fldChar w:fldCharType="begin"/>
            </w:r>
            <w:r w:rsidR="00D42AB4">
              <w:instrText xml:space="preserve"> HYPERLINK \l "Note4" </w:instrText>
            </w:r>
            <w:r w:rsidR="00D42AB4">
              <w:fldChar w:fldCharType="separate"/>
            </w:r>
            <w:r w:rsidRPr="00765156">
              <w:rPr>
                <w:rStyle w:val="Hyperlink"/>
                <w:b/>
                <w:vertAlign w:val="superscript"/>
              </w:rPr>
              <w:t>4</w:t>
            </w:r>
            <w:r w:rsidR="00D42AB4">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proofErr w:type="gramStart"/>
            <w:r w:rsidRPr="00765156">
              <w:t>:</w:t>
            </w:r>
            <w:proofErr w:type="gramEnd"/>
            <w:r w:rsidR="00D42AB4">
              <w:fldChar w:fldCharType="begin"/>
            </w:r>
            <w:r w:rsidR="00D42AB4">
              <w:instrText xml:space="preserve"> HYPERLINK \l "Note6" </w:instrText>
            </w:r>
            <w:r w:rsidR="00D42AB4">
              <w:fldChar w:fldCharType="separate"/>
            </w:r>
            <w:r w:rsidRPr="00765156">
              <w:rPr>
                <w:rStyle w:val="Hyperlink"/>
                <w:b/>
                <w:vertAlign w:val="superscript"/>
              </w:rPr>
              <w:t>6</w:t>
            </w:r>
            <w:r w:rsidR="00D42AB4">
              <w:rPr>
                <w:rStyle w:val="Hyperlink"/>
                <w:b/>
                <w:vertAlign w:val="superscript"/>
              </w:rPr>
              <w:fldChar w:fldCharType="end"/>
            </w:r>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10"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1"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2"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3" w:history="1">
              <w:r>
                <w:rPr>
                  <w:rStyle w:val="Hyperlink"/>
                </w:rPr>
                <w:t xml:space="preserve">Measurement </w:t>
              </w:r>
              <w:r w:rsidRPr="00765156">
                <w:rPr>
                  <w:rStyle w:val="Hyperlink"/>
                </w:rPr>
                <w:t>Framework: Evaluating Efficiency Across Episodes of Care</w:t>
              </w:r>
            </w:hyperlink>
            <w:r w:rsidRPr="00765156">
              <w:t xml:space="preserve">; </w:t>
            </w:r>
            <w:hyperlink r:id="rId14" w:history="1">
              <w:r w:rsidRPr="00765156">
                <w:rPr>
                  <w:rStyle w:val="Hyperlink"/>
                </w:rPr>
                <w:t>AQA Principles of Efficiency Measures</w:t>
              </w:r>
            </w:hyperlink>
            <w:r w:rsidRPr="00765156">
              <w:t>).</w:t>
            </w:r>
          </w:p>
        </w:tc>
      </w:tr>
    </w:tbl>
    <w:p w:rsidR="00496AF8" w:rsidRPr="00E51798" w:rsidRDefault="00496AF8" w:rsidP="002E2177">
      <w:pPr>
        <w:ind w:left="0" w:firstLine="0"/>
        <w:rPr>
          <w:bCs/>
          <w:i/>
        </w:rPr>
      </w:pPr>
      <w:r w:rsidRPr="0015535B">
        <w:rPr>
          <w:b/>
          <w:bCs/>
          <w:color w:val="0000FF"/>
        </w:rPr>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3900EC" w:rsidP="005857F8">
      <w:pPr>
        <w:ind w:left="720" w:hanging="432"/>
        <w:rPr>
          <w:bCs/>
        </w:rPr>
      </w:pPr>
      <w:sdt>
        <w:sdtPr>
          <w:rPr>
            <w:bCs/>
            <w:color w:val="0000FF"/>
          </w:rPr>
          <w:id w:val="1077707841"/>
          <w14:checkbox>
            <w14:checked w14:val="1"/>
            <w14:checkedState w14:val="2612" w14:font="MS Gothic"/>
            <w14:uncheckedState w14:val="2610" w14:font="MS Gothic"/>
          </w14:checkbox>
        </w:sdtPr>
        <w:sdtEndPr/>
        <w:sdtContent>
          <w:r w:rsidR="009150DC">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dtPr>
        <w:sdtEndPr>
          <w:rPr>
            <w:rStyle w:val="DefaultParagraphFont"/>
            <w:rFonts w:cstheme="minorBidi"/>
            <w:color w:val="auto"/>
            <w:u w:val="none"/>
          </w:rPr>
        </w:sdtEndPr>
        <w:sdtContent>
          <w:r w:rsidR="009150DC">
            <w:rPr>
              <w:rStyle w:val="Style2"/>
              <w:rFonts w:cstheme="minorHAnsi"/>
            </w:rPr>
            <w:t xml:space="preserve">Functional </w:t>
          </w:r>
          <w:r w:rsidR="006E479A">
            <w:rPr>
              <w:rStyle w:val="Style2"/>
              <w:rFonts w:cstheme="minorHAnsi"/>
            </w:rPr>
            <w:t xml:space="preserve">Status </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rsidR="00496AF8" w:rsidRPr="00E51798" w:rsidRDefault="003900EC"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3900EC"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process</w:t>
          </w:r>
        </w:sdtContent>
      </w:sdt>
    </w:p>
    <w:p w:rsidR="00496AF8" w:rsidRPr="00E51798" w:rsidRDefault="003900E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3900E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850C35" w:rsidRDefault="00850C35" w:rsidP="002E2177">
      <w:pPr>
        <w:ind w:left="0" w:firstLine="0"/>
        <w:rPr>
          <w:b/>
          <w:bCs/>
        </w:rPr>
      </w:pPr>
    </w:p>
    <w:p w:rsidR="00496AF8" w:rsidRDefault="00496AF8" w:rsidP="002E2177">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2B06BD">
      <w:pPr>
        <w:ind w:left="432" w:hanging="432"/>
        <w:rPr>
          <w:b/>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964A5B" w:rsidRDefault="00964A5B" w:rsidP="002B06BD">
      <w:pPr>
        <w:ind w:left="432" w:hanging="432"/>
        <w:rPr>
          <w:iCs/>
        </w:rPr>
      </w:pPr>
    </w:p>
    <w:p w:rsidR="001556FF" w:rsidRDefault="00460750" w:rsidP="001556FF">
      <w:pPr>
        <w:spacing w:line="480" w:lineRule="auto"/>
        <w:ind w:firstLine="720"/>
        <w:rPr>
          <w:rFonts w:cstheme="minorHAnsi"/>
          <w:iCs/>
        </w:rPr>
      </w:pPr>
      <w:r w:rsidRPr="00460750">
        <w:rPr>
          <w:rFonts w:cstheme="minorHAnsi"/>
        </w:rPr>
        <w:t>Inpatient rehabilitation facilities (IRFs) are one part of a multi-level post-acute care continuum. Inpatient rehabilitation is meant to provide intensive rehabilitation therapy for patients who, due to the complexity of their nursing, medical management and rehabilitation needs, require extensive rehabilitation therapy utilizing a multidisciplinary team approach.</w:t>
      </w:r>
      <w:r>
        <w:rPr>
          <w:rFonts w:cstheme="minorHAnsi"/>
        </w:rPr>
        <w:t xml:space="preserve">  </w:t>
      </w:r>
      <w:r w:rsidRPr="00970B83">
        <w:rPr>
          <w:rFonts w:cstheme="minorHAnsi"/>
        </w:rPr>
        <w:t>The primary aim of inpatient rehabilitation is</w:t>
      </w:r>
      <w:r w:rsidR="006E479A">
        <w:rPr>
          <w:rFonts w:cstheme="minorHAnsi"/>
        </w:rPr>
        <w:t xml:space="preserve"> restore function, increase functional independence, and ideally, to discharge the patient back to the community setting or </w:t>
      </w:r>
      <w:r w:rsidR="00BD6508">
        <w:rPr>
          <w:rFonts w:cstheme="minorHAnsi"/>
        </w:rPr>
        <w:t xml:space="preserve">residence prior to the </w:t>
      </w:r>
      <w:r w:rsidR="0050161A">
        <w:rPr>
          <w:rFonts w:cstheme="minorHAnsi"/>
        </w:rPr>
        <w:t>patient’s acute</w:t>
      </w:r>
      <w:r w:rsidR="00BD6508">
        <w:rPr>
          <w:rFonts w:cstheme="minorHAnsi"/>
        </w:rPr>
        <w:t xml:space="preserve"> admission and/or IRF stay.</w:t>
      </w:r>
      <w:r w:rsidR="006E479A">
        <w:rPr>
          <w:rFonts w:cstheme="minorHAnsi"/>
        </w:rPr>
        <w:t xml:space="preserve"> </w:t>
      </w:r>
      <w:r w:rsidRPr="00970B83">
        <w:rPr>
          <w:rFonts w:cstheme="minorHAnsi"/>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00D42AB4">
        <w:rPr>
          <w:rFonts w:cstheme="minorHAnsi"/>
        </w:rPr>
        <w:instrText xml:space="preserve"> ADDIN EN.CITE </w:instrText>
      </w:r>
      <w:r w:rsidR="00D42AB4">
        <w:rPr>
          <w:rFonts w:cstheme="minorHAnsi"/>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00D42AB4">
        <w:rPr>
          <w:rFonts w:cstheme="minorHAnsi"/>
        </w:rPr>
        <w:instrText xml:space="preserve"> ADDIN EN.CITE.DATA </w:instrText>
      </w:r>
      <w:r w:rsidR="00D42AB4">
        <w:rPr>
          <w:rFonts w:cstheme="minorHAnsi"/>
        </w:rPr>
      </w:r>
      <w:r w:rsidR="00D42AB4">
        <w:rPr>
          <w:rFonts w:cstheme="minorHAnsi"/>
        </w:rPr>
        <w:fldChar w:fldCharType="end"/>
      </w:r>
      <w:r w:rsidRPr="00970B83">
        <w:rPr>
          <w:rFonts w:cstheme="minorHAnsi"/>
        </w:rPr>
      </w:r>
      <w:r w:rsidRPr="00970B83">
        <w:rPr>
          <w:rFonts w:cstheme="minorHAnsi"/>
        </w:rPr>
        <w:fldChar w:fldCharType="separate"/>
      </w:r>
      <w:hyperlink w:anchor="_ENREF_1" w:tooltip=", 2001 #1" w:history="1">
        <w:r w:rsidR="005F71E3" w:rsidRPr="00D42AB4">
          <w:rPr>
            <w:rFonts w:cstheme="minorHAnsi"/>
            <w:noProof/>
            <w:vertAlign w:val="superscript"/>
          </w:rPr>
          <w:t>1</w:t>
        </w:r>
      </w:hyperlink>
      <w:r w:rsidR="00D42AB4" w:rsidRPr="00D42AB4">
        <w:rPr>
          <w:rFonts w:cstheme="minorHAnsi"/>
          <w:noProof/>
          <w:vertAlign w:val="superscript"/>
        </w:rPr>
        <w:t>,</w:t>
      </w:r>
      <w:hyperlink w:anchor="_ENREF_2" w:tooltip=", 2011 #13" w:history="1">
        <w:r w:rsidR="005F71E3" w:rsidRPr="00D42AB4">
          <w:rPr>
            <w:rFonts w:cstheme="minorHAnsi"/>
            <w:noProof/>
            <w:vertAlign w:val="superscript"/>
          </w:rPr>
          <w:t>2</w:t>
        </w:r>
      </w:hyperlink>
      <w:r w:rsidRPr="00970B83">
        <w:rPr>
          <w:rFonts w:cstheme="minorHAnsi"/>
        </w:rPr>
        <w:fldChar w:fldCharType="end"/>
      </w:r>
      <w:r w:rsidRPr="00970B83">
        <w:rPr>
          <w:rFonts w:cstheme="minorHAnsi"/>
        </w:rPr>
        <w:t>.</w:t>
      </w:r>
      <w:r w:rsidR="001556FF" w:rsidRPr="001556FF">
        <w:rPr>
          <w:rFonts w:cstheme="minorHAnsi"/>
          <w:iCs/>
        </w:rPr>
        <w:t xml:space="preserve"> </w:t>
      </w:r>
      <w:r>
        <w:rPr>
          <w:rFonts w:cstheme="minorHAnsi"/>
          <w:iCs/>
        </w:rPr>
        <w:t xml:space="preserve">The FIM instrument </w:t>
      </w:r>
      <w:r w:rsidR="00BD6508">
        <w:rPr>
          <w:rFonts w:cstheme="minorHAnsi"/>
          <w:iCs/>
        </w:rPr>
        <w:t xml:space="preserve">is presently embedded in the IRF-PAI, which is the </w:t>
      </w:r>
      <w:r w:rsidR="00A87151">
        <w:rPr>
          <w:rFonts w:cstheme="minorHAnsi"/>
          <w:iCs/>
        </w:rPr>
        <w:t xml:space="preserve">instrument that is presently used in inpatient rehabilitation to assess the patient’s level of functional status at admission and at discharge. Completion of the IRF-PAI is required by CMS as part of prospective payment for services provided to the patient. The FIM instrument contains 18 items, and several of the items address patient self-care. To date the </w:t>
      </w:r>
      <w:r w:rsidR="00FA5634">
        <w:rPr>
          <w:rFonts w:cstheme="minorHAnsi"/>
          <w:iCs/>
        </w:rPr>
        <w:t>motor</w:t>
      </w:r>
      <w:r w:rsidR="0050161A">
        <w:rPr>
          <w:rFonts w:cstheme="minorHAnsi"/>
          <w:iCs/>
        </w:rPr>
        <w:t xml:space="preserve"> </w:t>
      </w:r>
      <w:r>
        <w:rPr>
          <w:rFonts w:cstheme="minorHAnsi"/>
          <w:iCs/>
        </w:rPr>
        <w:t>measure</w:t>
      </w:r>
      <w:r w:rsidR="00A87151">
        <w:rPr>
          <w:rFonts w:cstheme="minorHAnsi"/>
          <w:iCs/>
        </w:rPr>
        <w:t xml:space="preserve"> has not been reported on as a stand-alone measure, however, the items of the </w:t>
      </w:r>
      <w:r w:rsidR="00FA5634">
        <w:rPr>
          <w:rFonts w:cstheme="minorHAnsi"/>
          <w:iCs/>
        </w:rPr>
        <w:t>motor</w:t>
      </w:r>
      <w:r w:rsidR="0050161A">
        <w:rPr>
          <w:rFonts w:cstheme="minorHAnsi"/>
          <w:iCs/>
        </w:rPr>
        <w:t xml:space="preserve"> </w:t>
      </w:r>
      <w:r w:rsidR="00A87151">
        <w:rPr>
          <w:rFonts w:cstheme="minorHAnsi"/>
          <w:iCs/>
        </w:rPr>
        <w:t xml:space="preserve">measure have been extensively used for over twenty five years as a component of the larger 18-item FIM instrument, in essence, </w:t>
      </w:r>
      <w:proofErr w:type="gramStart"/>
      <w:r w:rsidR="00A87151">
        <w:rPr>
          <w:rFonts w:cstheme="minorHAnsi"/>
          <w:iCs/>
        </w:rPr>
        <w:t>the</w:t>
      </w:r>
      <w:proofErr w:type="gramEnd"/>
      <w:r w:rsidR="00A87151">
        <w:rPr>
          <w:rFonts w:cstheme="minorHAnsi"/>
          <w:iCs/>
        </w:rPr>
        <w:t xml:space="preserve"> </w:t>
      </w:r>
      <w:r w:rsidR="00FA5634">
        <w:rPr>
          <w:rFonts w:cstheme="minorHAnsi"/>
          <w:iCs/>
        </w:rPr>
        <w:t>motor</w:t>
      </w:r>
      <w:r w:rsidR="0050161A">
        <w:rPr>
          <w:rFonts w:cstheme="minorHAnsi"/>
          <w:iCs/>
        </w:rPr>
        <w:t xml:space="preserve"> </w:t>
      </w:r>
      <w:r w:rsidR="00A87151">
        <w:rPr>
          <w:rFonts w:cstheme="minorHAnsi"/>
          <w:iCs/>
        </w:rPr>
        <w:t xml:space="preserve">measure is a measure within a larger measure. The </w:t>
      </w:r>
      <w:r w:rsidR="00FA5634">
        <w:rPr>
          <w:rFonts w:cstheme="minorHAnsi"/>
          <w:iCs/>
        </w:rPr>
        <w:t>motor</w:t>
      </w:r>
      <w:r w:rsidR="0050161A">
        <w:rPr>
          <w:rFonts w:cstheme="minorHAnsi"/>
          <w:iCs/>
        </w:rPr>
        <w:t xml:space="preserve"> </w:t>
      </w:r>
      <w:r w:rsidR="00A87151">
        <w:rPr>
          <w:rFonts w:cstheme="minorHAnsi"/>
          <w:iCs/>
        </w:rPr>
        <w:t xml:space="preserve">measure is intended to be administered within 24 hours of the patient’s admission to the IRF and again at patient discharge. Interim </w:t>
      </w:r>
      <w:r w:rsidR="000D1779">
        <w:rPr>
          <w:rFonts w:cstheme="minorHAnsi"/>
          <w:iCs/>
        </w:rPr>
        <w:t xml:space="preserve">assessments can be performed for case management purposes (goal setting or altering the therapy) but are not required. The items that comprise the </w:t>
      </w:r>
      <w:r w:rsidR="00FA5634">
        <w:rPr>
          <w:rFonts w:cstheme="minorHAnsi"/>
          <w:iCs/>
        </w:rPr>
        <w:t>motor</w:t>
      </w:r>
      <w:r w:rsidR="0050161A">
        <w:rPr>
          <w:rFonts w:cstheme="minorHAnsi"/>
          <w:iCs/>
        </w:rPr>
        <w:t xml:space="preserve"> </w:t>
      </w:r>
      <w:r w:rsidR="000D1779">
        <w:rPr>
          <w:rFonts w:cstheme="minorHAnsi"/>
          <w:iCs/>
        </w:rPr>
        <w:t xml:space="preserve">measure </w:t>
      </w:r>
      <w:proofErr w:type="gramStart"/>
      <w:r w:rsidR="000D1779">
        <w:rPr>
          <w:rFonts w:cstheme="minorHAnsi"/>
          <w:iCs/>
        </w:rPr>
        <w:t>is</w:t>
      </w:r>
      <w:proofErr w:type="gramEnd"/>
      <w:r w:rsidR="000D1779">
        <w:rPr>
          <w:rFonts w:cstheme="minorHAnsi"/>
          <w:iCs/>
        </w:rPr>
        <w:t xml:space="preserve"> as follows: </w:t>
      </w:r>
      <w:r w:rsidR="00FA5634">
        <w:rPr>
          <w:rFonts w:cstheme="minorHAnsi"/>
          <w:iCs/>
        </w:rPr>
        <w:t>Eating</w:t>
      </w:r>
      <w:r w:rsidR="00FA5634" w:rsidRPr="00743BCB">
        <w:rPr>
          <w:rFonts w:cstheme="minorHAnsi"/>
          <w:iCs/>
        </w:rPr>
        <w:t>, Grooming, Dressing Upper Body, Dressing Lower Body, Toileting</w:t>
      </w:r>
      <w:r w:rsidR="00FA5634">
        <w:rPr>
          <w:rFonts w:cstheme="minorHAnsi"/>
          <w:iCs/>
        </w:rPr>
        <w:t>, Bowel, Expression,</w:t>
      </w:r>
      <w:r w:rsidR="00FA5634">
        <w:rPr>
          <w:rFonts w:cstheme="minorHAnsi"/>
          <w:iCs/>
        </w:rPr>
        <w:t xml:space="preserve"> Memory</w:t>
      </w:r>
      <w:r w:rsidR="00FA5634">
        <w:rPr>
          <w:rFonts w:cstheme="minorHAnsi"/>
          <w:iCs/>
        </w:rPr>
        <w:t>,</w:t>
      </w:r>
      <w:r w:rsidR="00FA5634" w:rsidRPr="0050161A">
        <w:rPr>
          <w:rFonts w:cstheme="minorHAnsi"/>
          <w:iCs/>
        </w:rPr>
        <w:t xml:space="preserve"> </w:t>
      </w:r>
      <w:r w:rsidR="0050161A" w:rsidRPr="0050161A">
        <w:rPr>
          <w:rFonts w:cstheme="minorHAnsi"/>
          <w:iCs/>
        </w:rPr>
        <w:t>Transfer Bed/Chair/Wheelchair, Transfer Toilet, Locomotion and Stairs.</w:t>
      </w:r>
      <w:r w:rsidR="00743BCB">
        <w:rPr>
          <w:rFonts w:cstheme="minorHAnsi"/>
          <w:iCs/>
        </w:rPr>
        <w:t>)</w:t>
      </w:r>
      <w:r>
        <w:rPr>
          <w:rFonts w:cstheme="minorHAnsi"/>
          <w:iCs/>
        </w:rPr>
        <w:t xml:space="preserve">. </w:t>
      </w:r>
      <w:r w:rsidR="00743BCB">
        <w:rPr>
          <w:rFonts w:cstheme="minorHAnsi"/>
          <w:iCs/>
        </w:rPr>
        <w:t xml:space="preserve">All items are rated by trained clinicians. Below is a flow chart depicting the </w:t>
      </w:r>
      <w:r w:rsidR="000D1779">
        <w:rPr>
          <w:rFonts w:cstheme="minorHAnsi"/>
          <w:iCs/>
        </w:rPr>
        <w:t>current methodology for patient assessment</w:t>
      </w:r>
      <w:r w:rsidR="003D405D">
        <w:rPr>
          <w:rFonts w:cstheme="minorHAnsi"/>
          <w:iCs/>
        </w:rPr>
        <w:t xml:space="preserve"> in an </w:t>
      </w:r>
      <w:proofErr w:type="gramStart"/>
      <w:r w:rsidR="003D405D">
        <w:rPr>
          <w:rFonts w:cstheme="minorHAnsi"/>
          <w:iCs/>
        </w:rPr>
        <w:t>IRF</w:t>
      </w:r>
      <w:r w:rsidR="00743BCB">
        <w:rPr>
          <w:rFonts w:cstheme="minorHAnsi"/>
          <w:iCs/>
        </w:rPr>
        <w:t>:</w:t>
      </w:r>
      <w:proofErr w:type="gramEnd"/>
    </w:p>
    <w:p w:rsidR="00D42AB4" w:rsidRDefault="00FA5634" w:rsidP="00D42AB4">
      <w:pPr>
        <w:spacing w:line="480" w:lineRule="auto"/>
        <w:rPr>
          <w:rFonts w:cstheme="minorHAnsi"/>
          <w:iCs/>
        </w:rPr>
      </w:pPr>
      <w:r>
        <w:rPr>
          <w:rFonts w:cstheme="minorHAnsi"/>
          <w:iCs/>
          <w:noProof/>
        </w:rPr>
        <w:drawing>
          <wp:inline distT="0" distB="0" distL="0" distR="0" wp14:anchorId="1C6890F0">
            <wp:extent cx="6530196" cy="4468671"/>
            <wp:effectExtent l="0" t="0" r="444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3789" cy="4471130"/>
                    </a:xfrm>
                    <a:prstGeom prst="rect">
                      <a:avLst/>
                    </a:prstGeom>
                    <a:noFill/>
                  </pic:spPr>
                </pic:pic>
              </a:graphicData>
            </a:graphic>
          </wp:inline>
        </w:drawing>
      </w:r>
    </w:p>
    <w:p w:rsidR="00743BCB" w:rsidRPr="00F23EDC" w:rsidRDefault="00743BCB" w:rsidP="00743BCB">
      <w:pPr>
        <w:spacing w:line="480" w:lineRule="auto"/>
        <w:rPr>
          <w:rFonts w:ascii="Times New Roman" w:hAnsi="Times New Roman" w:cs="Times New Roman"/>
          <w:sz w:val="24"/>
          <w:szCs w:val="24"/>
        </w:rPr>
      </w:pPr>
    </w:p>
    <w:p w:rsidR="00D42AB4" w:rsidRDefault="003D405D" w:rsidP="001556FF">
      <w:pPr>
        <w:ind w:left="432" w:firstLine="0"/>
        <w:rPr>
          <w:iCs/>
        </w:rPr>
      </w:pPr>
      <w:r>
        <w:rPr>
          <w:iCs/>
        </w:rPr>
        <w:t>While</w:t>
      </w:r>
      <w:r w:rsidR="00D42AB4">
        <w:rPr>
          <w:iCs/>
        </w:rPr>
        <w:t xml:space="preserve"> th</w:t>
      </w:r>
      <w:r>
        <w:rPr>
          <w:iCs/>
        </w:rPr>
        <w:t xml:space="preserve">e </w:t>
      </w:r>
      <w:r w:rsidR="00FA5634">
        <w:rPr>
          <w:iCs/>
        </w:rPr>
        <w:t>motor</w:t>
      </w:r>
      <w:r w:rsidR="0050161A">
        <w:rPr>
          <w:iCs/>
        </w:rPr>
        <w:t xml:space="preserve"> </w:t>
      </w:r>
      <w:r>
        <w:rPr>
          <w:iCs/>
        </w:rPr>
        <w:t>measure</w:t>
      </w:r>
      <w:r w:rsidR="00D42AB4">
        <w:rPr>
          <w:iCs/>
        </w:rPr>
        <w:t xml:space="preserve"> is new, UDSMR has been </w:t>
      </w:r>
      <w:r>
        <w:rPr>
          <w:iCs/>
        </w:rPr>
        <w:t xml:space="preserve">a data repository for the </w:t>
      </w:r>
      <w:r w:rsidR="00D42AB4">
        <w:rPr>
          <w:iCs/>
        </w:rPr>
        <w:t>FIM instrument,</w:t>
      </w:r>
      <w:r>
        <w:rPr>
          <w:iCs/>
        </w:rPr>
        <w:t xml:space="preserve"> of which the items of the </w:t>
      </w:r>
      <w:r w:rsidR="00FA5634">
        <w:rPr>
          <w:iCs/>
        </w:rPr>
        <w:t>motor</w:t>
      </w:r>
      <w:r w:rsidR="0050161A">
        <w:rPr>
          <w:iCs/>
        </w:rPr>
        <w:t xml:space="preserve"> </w:t>
      </w:r>
      <w:r>
        <w:rPr>
          <w:iCs/>
        </w:rPr>
        <w:t xml:space="preserve">measure are nested within for nearly thirty years. Therefore, </w:t>
      </w:r>
      <w:r w:rsidR="00D42AB4">
        <w:rPr>
          <w:iCs/>
        </w:rPr>
        <w:t xml:space="preserve">data is already available on the measure. Below is a data table </w:t>
      </w:r>
      <w:r>
        <w:rPr>
          <w:iCs/>
        </w:rPr>
        <w:t xml:space="preserve">displaying aggregate trends for the </w:t>
      </w:r>
      <w:r w:rsidR="00FA5634">
        <w:rPr>
          <w:iCs/>
        </w:rPr>
        <w:t>motor</w:t>
      </w:r>
      <w:r w:rsidR="0050161A">
        <w:rPr>
          <w:iCs/>
        </w:rPr>
        <w:t xml:space="preserve"> </w:t>
      </w:r>
      <w:r>
        <w:rPr>
          <w:iCs/>
        </w:rPr>
        <w:t xml:space="preserve">measure </w:t>
      </w:r>
      <w:r w:rsidR="00D42AB4">
        <w:rPr>
          <w:iCs/>
        </w:rPr>
        <w:t>f</w:t>
      </w:r>
      <w:r>
        <w:rPr>
          <w:iCs/>
        </w:rPr>
        <w:t xml:space="preserve">or the years </w:t>
      </w:r>
      <w:r w:rsidR="00D42AB4">
        <w:rPr>
          <w:iCs/>
        </w:rPr>
        <w:t xml:space="preserve">2002 to </w:t>
      </w:r>
      <w:proofErr w:type="gramStart"/>
      <w:r w:rsidR="00D42AB4">
        <w:rPr>
          <w:iCs/>
        </w:rPr>
        <w:t>2013.</w:t>
      </w:r>
      <w:proofErr w:type="gramEnd"/>
    </w:p>
    <w:p w:rsidR="00D42AB4" w:rsidRDefault="00D42AB4" w:rsidP="001556FF">
      <w:pPr>
        <w:ind w:left="432" w:firstLine="0"/>
        <w:rPr>
          <w:iCs/>
        </w:rPr>
      </w:pPr>
    </w:p>
    <w:p w:rsidR="00964A5B" w:rsidRDefault="00D42AB4" w:rsidP="001556FF">
      <w:pPr>
        <w:ind w:left="432" w:firstLine="0"/>
        <w:rPr>
          <w:iCs/>
        </w:rPr>
      </w:pPr>
      <w:r>
        <w:rPr>
          <w:iCs/>
        </w:rPr>
        <w:t xml:space="preserve"> </w:t>
      </w:r>
      <w:r w:rsidR="003900EC" w:rsidRPr="003900EC">
        <w:drawing>
          <wp:inline distT="0" distB="0" distL="0" distR="0" wp14:anchorId="40E107EC" wp14:editId="13F9C5E0">
            <wp:extent cx="6858000" cy="10504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1050465"/>
                    </a:xfrm>
                    <a:prstGeom prst="rect">
                      <a:avLst/>
                    </a:prstGeom>
                    <a:noFill/>
                    <a:ln>
                      <a:noFill/>
                    </a:ln>
                  </pic:spPr>
                </pic:pic>
              </a:graphicData>
            </a:graphic>
          </wp:inline>
        </w:drawing>
      </w:r>
      <w:bookmarkStart w:id="5" w:name="_GoBack"/>
      <w:bookmarkEnd w:id="5"/>
    </w:p>
    <w:p w:rsidR="002B06BD" w:rsidRDefault="002B06BD" w:rsidP="002E2177">
      <w:pPr>
        <w:ind w:left="432" w:hanging="432"/>
        <w:rPr>
          <w:color w:val="0000FF"/>
        </w:rPr>
      </w:pPr>
    </w:p>
    <w:p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970B83" w:rsidRPr="00D42AB4" w:rsidRDefault="00970B83" w:rsidP="00970B83">
      <w:pPr>
        <w:ind w:left="432" w:firstLine="0"/>
        <w:rPr>
          <w:rFonts w:cstheme="minorHAnsi"/>
        </w:rPr>
      </w:pPr>
    </w:p>
    <w:p w:rsidR="00D42AB4" w:rsidRDefault="003D405D" w:rsidP="002E2177">
      <w:pPr>
        <w:ind w:left="0" w:firstLine="0"/>
        <w:rPr>
          <w:rFonts w:cstheme="minorHAnsi"/>
        </w:rPr>
      </w:pPr>
      <w:r>
        <w:rPr>
          <w:rFonts w:cstheme="minorHAnsi"/>
        </w:rPr>
        <w:t xml:space="preserve">As previously stated, the </w:t>
      </w:r>
      <w:r w:rsidR="00FA5634">
        <w:rPr>
          <w:rFonts w:cstheme="minorHAnsi"/>
        </w:rPr>
        <w:t>motor</w:t>
      </w:r>
      <w:r w:rsidR="0050161A">
        <w:rPr>
          <w:rFonts w:cstheme="minorHAnsi"/>
        </w:rPr>
        <w:t xml:space="preserve"> </w:t>
      </w:r>
      <w:r>
        <w:rPr>
          <w:rFonts w:cstheme="minorHAnsi"/>
        </w:rPr>
        <w:t xml:space="preserve">measure is a new measure and has not been used as a stand-alone tool, however all of the items within the measure are </w:t>
      </w:r>
      <w:r w:rsidR="00F45DC1">
        <w:rPr>
          <w:rFonts w:cstheme="minorHAnsi"/>
        </w:rPr>
        <w:t xml:space="preserve">included in a larger instrument, the FIM instrument, which has been widely used and extensively published upon. For these reasons, much of the rationale, feasibility, usability and validity of the </w:t>
      </w:r>
      <w:r w:rsidR="00FA5634">
        <w:rPr>
          <w:rFonts w:cstheme="minorHAnsi"/>
        </w:rPr>
        <w:t>motor</w:t>
      </w:r>
      <w:r w:rsidR="0050161A">
        <w:rPr>
          <w:rFonts w:cstheme="minorHAnsi"/>
        </w:rPr>
        <w:t xml:space="preserve"> </w:t>
      </w:r>
      <w:r w:rsidR="00F45DC1">
        <w:rPr>
          <w:rFonts w:cstheme="minorHAnsi"/>
        </w:rPr>
        <w:t xml:space="preserve">measure </w:t>
      </w:r>
      <w:proofErr w:type="gramStart"/>
      <w:r w:rsidR="00F45DC1">
        <w:rPr>
          <w:rFonts w:cstheme="minorHAnsi"/>
        </w:rPr>
        <w:t>is</w:t>
      </w:r>
      <w:proofErr w:type="gramEnd"/>
      <w:r w:rsidR="00F45DC1">
        <w:rPr>
          <w:rFonts w:cstheme="minorHAnsi"/>
        </w:rPr>
        <w:t xml:space="preserve"> referenced to the larger FIM instrument, which is, in essence, the foundation. The </w:t>
      </w:r>
      <w:r w:rsidR="00D42AB4" w:rsidRPr="00D42AB4">
        <w:rPr>
          <w:rFonts w:cstheme="minorHAnsi"/>
        </w:rPr>
        <w:t xml:space="preserve">FIM® </w:t>
      </w:r>
      <w:r w:rsidR="00F45DC1">
        <w:rPr>
          <w:rFonts w:cstheme="minorHAnsi"/>
        </w:rPr>
        <w:t>instrument</w:t>
      </w:r>
      <w:r w:rsidR="00D42AB4">
        <w:rPr>
          <w:rFonts w:cstheme="minorHAnsi"/>
        </w:rPr>
        <w:t xml:space="preserve"> </w:t>
      </w:r>
      <w:r w:rsidR="00D42AB4" w:rsidRPr="00D42AB4">
        <w:rPr>
          <w:rFonts w:cstheme="minorHAnsi"/>
        </w:rPr>
        <w:t xml:space="preserve">has been </w:t>
      </w:r>
      <w:r w:rsidR="00F45DC1">
        <w:rPr>
          <w:rFonts w:cstheme="minorHAnsi"/>
        </w:rPr>
        <w:t xml:space="preserve">demonstrated in hundreds of peer-reviewed journal articles (see bibliography in Appendix) to be a significant </w:t>
      </w:r>
      <w:r w:rsidR="00D42AB4" w:rsidRPr="00D42AB4">
        <w:rPr>
          <w:rFonts w:cstheme="minorHAnsi"/>
        </w:rPr>
        <w:t xml:space="preserve">predictor </w:t>
      </w:r>
      <w:r w:rsidR="00F45DC1">
        <w:rPr>
          <w:rFonts w:cstheme="minorHAnsi"/>
        </w:rPr>
        <w:t>of patient</w:t>
      </w:r>
      <w:r w:rsidR="00D42AB4" w:rsidRPr="00D42AB4">
        <w:rPr>
          <w:rFonts w:cstheme="minorHAnsi"/>
        </w:rPr>
        <w:t xml:space="preserve"> outcomes of inpatient rehabilitation. Lower FIM® s</w:t>
      </w:r>
      <w:r w:rsidR="00F45DC1">
        <w:rPr>
          <w:rFonts w:cstheme="minorHAnsi"/>
        </w:rPr>
        <w:t>cores at admission to an IRF</w:t>
      </w:r>
      <w:r w:rsidR="00D42AB4" w:rsidRPr="00D42AB4">
        <w:rPr>
          <w:rFonts w:cstheme="minorHAnsi"/>
        </w:rPr>
        <w:t xml:space="preserve"> have been associated with an increased risk of being discharged to a non-community setting</w:t>
      </w:r>
      <w:r w:rsidR="001F3DD0">
        <w:rPr>
          <w:rFonts w:cstheme="minorHAnsi"/>
        </w:rPr>
        <w:t>; i</w:t>
      </w:r>
      <w:r w:rsidR="00D42AB4" w:rsidRPr="00D42AB4">
        <w:rPr>
          <w:rFonts w:cstheme="minorHAnsi"/>
        </w:rPr>
        <w:t xml:space="preserve">n particular, </w:t>
      </w:r>
      <w:r w:rsidR="001F3DD0">
        <w:rPr>
          <w:rFonts w:cstheme="minorHAnsi"/>
        </w:rPr>
        <w:t>several studies have found patients with a lower</w:t>
      </w:r>
      <w:r w:rsidR="00D42AB4" w:rsidRPr="00D42AB4">
        <w:rPr>
          <w:rFonts w:cstheme="minorHAnsi"/>
        </w:rPr>
        <w:t xml:space="preserve"> admission FIM® total </w:t>
      </w:r>
      <w:r w:rsidR="001F3DD0">
        <w:rPr>
          <w:rFonts w:cstheme="minorHAnsi"/>
        </w:rPr>
        <w:t>had an increased odds of readmission to an acute care hospital</w:t>
      </w:r>
      <w:r w:rsidR="00D42AB4" w:rsidRPr="00D42AB4">
        <w:rPr>
          <w:rFonts w:cstheme="minorHAnsi"/>
        </w:rPr>
        <w:t xml:space="preserve"> </w:t>
      </w:r>
      <w:hyperlink w:anchor="_ENREF_3" w:tooltip="Chung, 2012 #26" w:history="1">
        <w:r w:rsidR="005F71E3" w:rsidRPr="00D42AB4">
          <w:rPr>
            <w:rFonts w:cstheme="minorHAnsi"/>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005F71E3" w:rsidRPr="00D42AB4">
          <w:rPr>
            <w:rFonts w:cstheme="minorHAnsi"/>
          </w:rPr>
          <w:instrText xml:space="preserve"> ADDIN EN.CITE </w:instrText>
        </w:r>
        <w:r w:rsidR="005F71E3" w:rsidRPr="00D42AB4">
          <w:rPr>
            <w:rFonts w:cstheme="minorHAnsi"/>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005F71E3" w:rsidRPr="00D42AB4">
          <w:rPr>
            <w:rFonts w:cstheme="minorHAnsi"/>
          </w:rPr>
          <w:instrText xml:space="preserve"> ADDIN EN.CITE.DATA </w:instrText>
        </w:r>
        <w:r w:rsidR="005F71E3" w:rsidRPr="00D42AB4">
          <w:rPr>
            <w:rFonts w:cstheme="minorHAnsi"/>
          </w:rPr>
        </w:r>
        <w:r w:rsidR="005F71E3" w:rsidRPr="00D42AB4">
          <w:rPr>
            <w:rFonts w:cstheme="minorHAnsi"/>
          </w:rPr>
          <w:fldChar w:fldCharType="end"/>
        </w:r>
        <w:r w:rsidR="005F71E3" w:rsidRPr="00D42AB4">
          <w:rPr>
            <w:rFonts w:cstheme="minorHAnsi"/>
          </w:rPr>
        </w:r>
        <w:r w:rsidR="005F71E3" w:rsidRPr="00D42AB4">
          <w:rPr>
            <w:rFonts w:cstheme="minorHAnsi"/>
          </w:rPr>
          <w:fldChar w:fldCharType="separate"/>
        </w:r>
        <w:r w:rsidR="005F71E3" w:rsidRPr="00D42AB4">
          <w:rPr>
            <w:rFonts w:cstheme="minorHAnsi"/>
            <w:noProof/>
            <w:vertAlign w:val="superscript"/>
          </w:rPr>
          <w:t>3</w:t>
        </w:r>
        <w:r w:rsidR="005F71E3" w:rsidRPr="00D42AB4">
          <w:rPr>
            <w:rFonts w:cstheme="minorHAnsi"/>
          </w:rPr>
          <w:fldChar w:fldCharType="end"/>
        </w:r>
      </w:hyperlink>
      <w:r w:rsidR="001F3DD0">
        <w:rPr>
          <w:rFonts w:cstheme="minorHAnsi"/>
        </w:rPr>
        <w:t>,</w:t>
      </w:r>
      <w:hyperlink w:anchor="_ENREF_4" w:tooltip="Tan, 2012 #100" w:history="1">
        <w:r w:rsidR="005F71E3" w:rsidRPr="00D42AB4">
          <w:rPr>
            <w:rFonts w:cstheme="minorHAnsi"/>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005F71E3" w:rsidRPr="00D42AB4">
          <w:rPr>
            <w:rFonts w:cstheme="minorHAnsi"/>
          </w:rPr>
          <w:instrText xml:space="preserve"> ADDIN EN.CITE </w:instrText>
        </w:r>
        <w:r w:rsidR="005F71E3" w:rsidRPr="00D42AB4">
          <w:rPr>
            <w:rFonts w:cstheme="minorHAnsi"/>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005F71E3" w:rsidRPr="00D42AB4">
          <w:rPr>
            <w:rFonts w:cstheme="minorHAnsi"/>
          </w:rPr>
          <w:instrText xml:space="preserve"> ADDIN EN.CITE.DATA </w:instrText>
        </w:r>
        <w:r w:rsidR="005F71E3" w:rsidRPr="00D42AB4">
          <w:rPr>
            <w:rFonts w:cstheme="minorHAnsi"/>
          </w:rPr>
        </w:r>
        <w:r w:rsidR="005F71E3" w:rsidRPr="00D42AB4">
          <w:rPr>
            <w:rFonts w:cstheme="minorHAnsi"/>
          </w:rPr>
          <w:fldChar w:fldCharType="end"/>
        </w:r>
        <w:r w:rsidR="005F71E3" w:rsidRPr="00D42AB4">
          <w:rPr>
            <w:rFonts w:cstheme="minorHAnsi"/>
          </w:rPr>
        </w:r>
        <w:r w:rsidR="005F71E3" w:rsidRPr="00D42AB4">
          <w:rPr>
            <w:rFonts w:cstheme="minorHAnsi"/>
          </w:rPr>
          <w:fldChar w:fldCharType="separate"/>
        </w:r>
        <w:r w:rsidR="005F71E3" w:rsidRPr="00D42AB4">
          <w:rPr>
            <w:rFonts w:cstheme="minorHAnsi"/>
            <w:noProof/>
            <w:vertAlign w:val="superscript"/>
          </w:rPr>
          <w:t>4</w:t>
        </w:r>
        <w:r w:rsidR="005F71E3" w:rsidRPr="00D42AB4">
          <w:rPr>
            <w:rFonts w:cstheme="minorHAnsi"/>
          </w:rPr>
          <w:fldChar w:fldCharType="end"/>
        </w:r>
      </w:hyperlink>
      <w:r w:rsidR="00D42AB4" w:rsidRPr="00D42AB4">
        <w:rPr>
          <w:rFonts w:cstheme="minorHAnsi"/>
        </w:rPr>
        <w:t xml:space="preserve">. Additionally, Tan et al. </w:t>
      </w:r>
      <w:hyperlink w:anchor="_ENREF_4" w:tooltip="Tan, 2012 #100" w:history="1">
        <w:r w:rsidR="005F71E3" w:rsidRPr="00D42AB4">
          <w:rPr>
            <w:rFonts w:cstheme="minorHAnsi"/>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005F71E3" w:rsidRPr="00D42AB4">
          <w:rPr>
            <w:rFonts w:cstheme="minorHAnsi"/>
          </w:rPr>
          <w:instrText xml:space="preserve"> ADDIN EN.CITE </w:instrText>
        </w:r>
        <w:r w:rsidR="005F71E3" w:rsidRPr="00D42AB4">
          <w:rPr>
            <w:rFonts w:cstheme="minorHAnsi"/>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005F71E3" w:rsidRPr="00D42AB4">
          <w:rPr>
            <w:rFonts w:cstheme="minorHAnsi"/>
          </w:rPr>
          <w:instrText xml:space="preserve"> ADDIN EN.CITE.DATA </w:instrText>
        </w:r>
        <w:r w:rsidR="005F71E3" w:rsidRPr="00D42AB4">
          <w:rPr>
            <w:rFonts w:cstheme="minorHAnsi"/>
          </w:rPr>
        </w:r>
        <w:r w:rsidR="005F71E3" w:rsidRPr="00D42AB4">
          <w:rPr>
            <w:rFonts w:cstheme="minorHAnsi"/>
          </w:rPr>
          <w:fldChar w:fldCharType="end"/>
        </w:r>
        <w:r w:rsidR="005F71E3" w:rsidRPr="00D42AB4">
          <w:rPr>
            <w:rFonts w:cstheme="minorHAnsi"/>
          </w:rPr>
        </w:r>
        <w:r w:rsidR="005F71E3" w:rsidRPr="00D42AB4">
          <w:rPr>
            <w:rFonts w:cstheme="minorHAnsi"/>
          </w:rPr>
          <w:fldChar w:fldCharType="separate"/>
        </w:r>
        <w:r w:rsidR="005F71E3" w:rsidRPr="00D42AB4">
          <w:rPr>
            <w:rFonts w:cstheme="minorHAnsi"/>
            <w:noProof/>
            <w:vertAlign w:val="superscript"/>
          </w:rPr>
          <w:t>4</w:t>
        </w:r>
        <w:r w:rsidR="005F71E3" w:rsidRPr="00D42AB4">
          <w:rPr>
            <w:rFonts w:cstheme="minorHAnsi"/>
          </w:rPr>
          <w:fldChar w:fldCharType="end"/>
        </w:r>
      </w:hyperlink>
      <w:r w:rsidR="00D42AB4" w:rsidRPr="00D42AB4">
        <w:rPr>
          <w:rFonts w:cstheme="minorHAnsi"/>
        </w:rPr>
        <w:t xml:space="preserve"> found that admission FIM® total was a positive predictor </w:t>
      </w:r>
      <w:r w:rsidR="001F3DD0">
        <w:rPr>
          <w:rFonts w:cstheme="minorHAnsi"/>
        </w:rPr>
        <w:t>functional gain (score at discharge from score at admission) and length of stay in an IRF</w:t>
      </w:r>
      <w:r w:rsidR="00D42AB4" w:rsidRPr="00D42AB4">
        <w:rPr>
          <w:rFonts w:cstheme="minorHAnsi"/>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00D42AB4" w:rsidRPr="00D42AB4">
        <w:rPr>
          <w:rFonts w:cstheme="minorHAnsi"/>
        </w:rPr>
        <w:instrText xml:space="preserve"> ADDIN EN.CITE </w:instrText>
      </w:r>
      <w:r w:rsidR="00D42AB4" w:rsidRPr="00D42AB4">
        <w:rPr>
          <w:rFonts w:cstheme="minorHAnsi"/>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00D42AB4" w:rsidRPr="00D42AB4">
        <w:rPr>
          <w:rFonts w:cstheme="minorHAnsi"/>
        </w:rPr>
        <w:instrText xml:space="preserve"> ADDIN EN.CITE.DATA </w:instrText>
      </w:r>
      <w:r w:rsidR="00D42AB4" w:rsidRPr="00D42AB4">
        <w:rPr>
          <w:rFonts w:cstheme="minorHAnsi"/>
        </w:rPr>
      </w:r>
      <w:r w:rsidR="00D42AB4" w:rsidRPr="00D42AB4">
        <w:rPr>
          <w:rFonts w:cstheme="minorHAnsi"/>
        </w:rPr>
        <w:fldChar w:fldCharType="end"/>
      </w:r>
      <w:r w:rsidR="00D42AB4" w:rsidRPr="00D42AB4">
        <w:rPr>
          <w:rFonts w:cstheme="minorHAnsi"/>
        </w:rPr>
      </w:r>
      <w:r w:rsidR="00D42AB4" w:rsidRPr="00D42AB4">
        <w:rPr>
          <w:rFonts w:cstheme="minorHAnsi"/>
        </w:rPr>
        <w:fldChar w:fldCharType="separate"/>
      </w:r>
      <w:hyperlink w:anchor="_ENREF_5" w:tooltip="Inouye, 2001 #104" w:history="1">
        <w:r w:rsidR="005F71E3" w:rsidRPr="00D42AB4">
          <w:rPr>
            <w:rFonts w:cstheme="minorHAnsi"/>
            <w:noProof/>
            <w:vertAlign w:val="superscript"/>
          </w:rPr>
          <w:t>5</w:t>
        </w:r>
      </w:hyperlink>
      <w:r w:rsidR="00D42AB4" w:rsidRPr="00D42AB4">
        <w:rPr>
          <w:rFonts w:cstheme="minorHAnsi"/>
          <w:noProof/>
          <w:vertAlign w:val="superscript"/>
        </w:rPr>
        <w:t>,</w:t>
      </w:r>
      <w:hyperlink w:anchor="_ENREF_6" w:tooltip="Leung, 2010 #107" w:history="1">
        <w:r w:rsidR="005F71E3" w:rsidRPr="00D42AB4">
          <w:rPr>
            <w:rFonts w:cstheme="minorHAnsi"/>
            <w:noProof/>
            <w:vertAlign w:val="superscript"/>
          </w:rPr>
          <w:t>6</w:t>
        </w:r>
      </w:hyperlink>
      <w:r w:rsidR="00D42AB4" w:rsidRPr="00D42AB4">
        <w:rPr>
          <w:rFonts w:cstheme="minorHAnsi"/>
        </w:rPr>
        <w:fldChar w:fldCharType="end"/>
      </w:r>
      <w:r w:rsidR="001F3DD0">
        <w:rPr>
          <w:rFonts w:cstheme="minorHAnsi"/>
        </w:rPr>
        <w:t>,</w:t>
      </w:r>
      <w:r w:rsidR="00D42AB4" w:rsidRPr="00D42AB4">
        <w:rPr>
          <w:rFonts w:cstheme="minorHAnsi"/>
        </w:rPr>
        <w:t xml:space="preserve">  </w:t>
      </w:r>
      <w:r w:rsidR="00D42AB4" w:rsidRPr="00D42AB4">
        <w:rPr>
          <w:rFonts w:cstheme="minorHAnsi"/>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005F71E3">
        <w:rPr>
          <w:rFonts w:cstheme="minorHAnsi"/>
        </w:rPr>
        <w:instrText xml:space="preserve"> ADDIN EN.CITE </w:instrText>
      </w:r>
      <w:r w:rsidR="005F71E3">
        <w:rPr>
          <w:rFonts w:cstheme="minorHAnsi"/>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005F71E3">
        <w:rPr>
          <w:rFonts w:cstheme="minorHAnsi"/>
        </w:rPr>
        <w:instrText xml:space="preserve"> ADDIN EN.CITE.DATA </w:instrText>
      </w:r>
      <w:r w:rsidR="005F71E3">
        <w:rPr>
          <w:rFonts w:cstheme="minorHAnsi"/>
        </w:rPr>
      </w:r>
      <w:r w:rsidR="005F71E3">
        <w:rPr>
          <w:rFonts w:cstheme="minorHAnsi"/>
        </w:rPr>
        <w:fldChar w:fldCharType="end"/>
      </w:r>
      <w:r w:rsidR="00D42AB4" w:rsidRPr="00D42AB4">
        <w:rPr>
          <w:rFonts w:cstheme="minorHAnsi"/>
        </w:rPr>
        <w:fldChar w:fldCharType="separate"/>
      </w:r>
      <w:hyperlink w:anchor="_ENREF_7" w:tooltip="Franchignoni, 1998 #109" w:history="1">
        <w:r w:rsidR="005F71E3" w:rsidRPr="005F71E3">
          <w:rPr>
            <w:rFonts w:cstheme="minorHAnsi"/>
            <w:noProof/>
            <w:vertAlign w:val="superscript"/>
          </w:rPr>
          <w:t>7</w:t>
        </w:r>
      </w:hyperlink>
      <w:r w:rsidR="005F71E3" w:rsidRPr="005F71E3">
        <w:rPr>
          <w:rFonts w:cstheme="minorHAnsi"/>
          <w:noProof/>
          <w:vertAlign w:val="superscript"/>
        </w:rPr>
        <w:t>,</w:t>
      </w:r>
      <w:hyperlink w:anchor="_ENREF_8" w:tooltip="McClure, 2011 #106" w:history="1">
        <w:r w:rsidR="005F71E3" w:rsidRPr="005F71E3">
          <w:rPr>
            <w:rFonts w:cstheme="minorHAnsi"/>
            <w:noProof/>
            <w:vertAlign w:val="superscript"/>
          </w:rPr>
          <w:t>8</w:t>
        </w:r>
      </w:hyperlink>
      <w:r w:rsidR="00D42AB4" w:rsidRPr="00D42AB4">
        <w:rPr>
          <w:rFonts w:cstheme="minorHAnsi"/>
        </w:rPr>
        <w:fldChar w:fldCharType="end"/>
      </w:r>
      <w:r w:rsidR="00D42AB4" w:rsidRPr="00D42AB4">
        <w:rPr>
          <w:rFonts w:cstheme="minorHAnsi"/>
        </w:rPr>
        <w:t>.</w:t>
      </w:r>
    </w:p>
    <w:p w:rsidR="007D7BE0" w:rsidRDefault="007D7BE0" w:rsidP="002E2177">
      <w:pPr>
        <w:ind w:left="0" w:firstLine="0"/>
        <w:rPr>
          <w:rFonts w:cstheme="minorHAnsi"/>
        </w:rPr>
      </w:pPr>
    </w:p>
    <w:p w:rsidR="007D7BE0" w:rsidRDefault="007D7BE0" w:rsidP="007D7BE0">
      <w:pPr>
        <w:ind w:left="0" w:firstLine="0"/>
        <w:rPr>
          <w:b/>
        </w:rPr>
      </w:pPr>
    </w:p>
    <w:p w:rsidR="005F71E3" w:rsidRPr="005F71E3" w:rsidRDefault="007D7BE0" w:rsidP="005F71E3">
      <w:pPr>
        <w:ind w:left="720" w:hanging="720"/>
        <w:rPr>
          <w:rFonts w:ascii="Calibri" w:hAnsi="Calibri" w:cs="Calibri"/>
          <w:noProof/>
        </w:rPr>
      </w:pPr>
      <w:r>
        <w:lastRenderedPageBreak/>
        <w:fldChar w:fldCharType="begin"/>
      </w:r>
      <w:r>
        <w:instrText xml:space="preserve"> ADDIN EN.REFLIST </w:instrText>
      </w:r>
      <w:r>
        <w:fldChar w:fldCharType="separate"/>
      </w:r>
      <w:bookmarkStart w:id="6" w:name="_ENREF_1"/>
      <w:r w:rsidR="005F71E3" w:rsidRPr="005F71E3">
        <w:rPr>
          <w:rFonts w:ascii="Calibri" w:hAnsi="Calibri" w:cs="Calibri"/>
          <w:b/>
          <w:noProof/>
        </w:rPr>
        <w:t>1.</w:t>
      </w:r>
      <w:r w:rsidR="005F71E3" w:rsidRPr="005F71E3">
        <w:rPr>
          <w:rFonts w:ascii="Calibri" w:hAnsi="Calibri" w:cs="Calibri"/>
          <w:noProof/>
        </w:rPr>
        <w:tab/>
        <w:t xml:space="preserve">Medicare program; prospective payment system for inpatient rehabilitation facilities. Final rule. </w:t>
      </w:r>
      <w:r w:rsidR="005F71E3" w:rsidRPr="005F71E3">
        <w:rPr>
          <w:rFonts w:ascii="Calibri" w:hAnsi="Calibri" w:cs="Calibri"/>
          <w:i/>
          <w:noProof/>
        </w:rPr>
        <w:t xml:space="preserve">Federal register. </w:t>
      </w:r>
      <w:r w:rsidR="005F71E3" w:rsidRPr="005F71E3">
        <w:rPr>
          <w:rFonts w:ascii="Calibri" w:hAnsi="Calibri" w:cs="Calibri"/>
          <w:noProof/>
        </w:rPr>
        <w:t>Aug 7 2001;66(152):41315-41430.</w:t>
      </w:r>
      <w:bookmarkEnd w:id="6"/>
    </w:p>
    <w:p w:rsidR="005F71E3" w:rsidRPr="005F71E3" w:rsidRDefault="005F71E3" w:rsidP="005F71E3">
      <w:pPr>
        <w:ind w:left="720" w:hanging="720"/>
        <w:rPr>
          <w:rFonts w:ascii="Calibri" w:hAnsi="Calibri" w:cs="Calibri"/>
          <w:noProof/>
        </w:rPr>
      </w:pPr>
      <w:bookmarkStart w:id="7" w:name="_ENREF_2"/>
      <w:r w:rsidRPr="005F71E3">
        <w:rPr>
          <w:rFonts w:ascii="Calibri" w:hAnsi="Calibri" w:cs="Calibri"/>
          <w:b/>
          <w:noProof/>
        </w:rPr>
        <w:t>2.</w:t>
      </w:r>
      <w:r w:rsidRPr="005F71E3">
        <w:rPr>
          <w:rFonts w:ascii="Calibri" w:hAnsi="Calibri" w:cs="Calibri"/>
          <w:noProof/>
        </w:rPr>
        <w:tab/>
        <w:t xml:space="preserve">Medicare program; inpatient rehabilitation facility prospective payment system for federal fiscal year 2012; changes in size and square footage of inpatient rehabilitation units and inpatient psychiatric units. Final rule. </w:t>
      </w:r>
      <w:r w:rsidRPr="005F71E3">
        <w:rPr>
          <w:rFonts w:ascii="Calibri" w:hAnsi="Calibri" w:cs="Calibri"/>
          <w:i/>
          <w:noProof/>
        </w:rPr>
        <w:t xml:space="preserve">Federal register. </w:t>
      </w:r>
      <w:r w:rsidRPr="005F71E3">
        <w:rPr>
          <w:rFonts w:ascii="Calibri" w:hAnsi="Calibri" w:cs="Calibri"/>
          <w:noProof/>
        </w:rPr>
        <w:t>Aug 5 2011;76(151):47836-47915.</w:t>
      </w:r>
      <w:bookmarkEnd w:id="7"/>
    </w:p>
    <w:p w:rsidR="005F71E3" w:rsidRPr="005F71E3" w:rsidRDefault="005F71E3" w:rsidP="005F71E3">
      <w:pPr>
        <w:ind w:left="720" w:hanging="720"/>
        <w:rPr>
          <w:rFonts w:ascii="Calibri" w:hAnsi="Calibri" w:cs="Calibri"/>
          <w:noProof/>
        </w:rPr>
      </w:pPr>
      <w:bookmarkStart w:id="8" w:name="_ENREF_3"/>
      <w:r w:rsidRPr="005F71E3">
        <w:rPr>
          <w:rFonts w:ascii="Calibri" w:hAnsi="Calibri" w:cs="Calibri"/>
          <w:b/>
          <w:noProof/>
        </w:rPr>
        <w:t>3.</w:t>
      </w:r>
      <w:r w:rsidRPr="005F71E3">
        <w:rPr>
          <w:rFonts w:ascii="Calibri" w:hAnsi="Calibri" w:cs="Calibri"/>
          <w:noProof/>
        </w:rPr>
        <w:tab/>
        <w:t xml:space="preserve">Chung DM, Niewczyk P, Divita M, Markello S, Granger C. Predictors of discharge to acute care after inpatient rehabilitation in severely affected stroke patients. </w:t>
      </w:r>
      <w:r w:rsidRPr="005F71E3">
        <w:rPr>
          <w:rFonts w:ascii="Calibri" w:hAnsi="Calibri" w:cs="Calibri"/>
          <w:i/>
          <w:noProof/>
        </w:rPr>
        <w:t xml:space="preserve">American journal of physical medicine &amp; rehabilitation / Association of Academic Physiatrists. </w:t>
      </w:r>
      <w:r w:rsidRPr="005F71E3">
        <w:rPr>
          <w:rFonts w:ascii="Calibri" w:hAnsi="Calibri" w:cs="Calibri"/>
          <w:noProof/>
        </w:rPr>
        <w:t>May 2012;91(5):387-392.</w:t>
      </w:r>
      <w:bookmarkEnd w:id="8"/>
    </w:p>
    <w:p w:rsidR="005F71E3" w:rsidRPr="005F71E3" w:rsidRDefault="005F71E3" w:rsidP="005F71E3">
      <w:pPr>
        <w:ind w:left="720" w:hanging="720"/>
        <w:rPr>
          <w:rFonts w:ascii="Calibri" w:hAnsi="Calibri" w:cs="Calibri"/>
          <w:noProof/>
        </w:rPr>
      </w:pPr>
      <w:bookmarkStart w:id="9" w:name="_ENREF_4"/>
      <w:r w:rsidRPr="005F71E3">
        <w:rPr>
          <w:rFonts w:ascii="Calibri" w:hAnsi="Calibri" w:cs="Calibri"/>
          <w:b/>
          <w:noProof/>
        </w:rPr>
        <w:t>4.</w:t>
      </w:r>
      <w:r w:rsidRPr="005F71E3">
        <w:rPr>
          <w:rFonts w:ascii="Calibri" w:hAnsi="Calibri" w:cs="Calibri"/>
          <w:noProof/>
        </w:rPr>
        <w:tab/>
        <w:t xml:space="preserve">Tan WH, Goldstein R, Gerrard P, et al. Outcomes and predictors in burn rehabilitation. </w:t>
      </w:r>
      <w:r w:rsidRPr="005F71E3">
        <w:rPr>
          <w:rFonts w:ascii="Calibri" w:hAnsi="Calibri" w:cs="Calibri"/>
          <w:i/>
          <w:noProof/>
        </w:rPr>
        <w:t xml:space="preserve">Journal of burn care &amp; research : official publication of the American Burn Association. </w:t>
      </w:r>
      <w:r w:rsidRPr="005F71E3">
        <w:rPr>
          <w:rFonts w:ascii="Calibri" w:hAnsi="Calibri" w:cs="Calibri"/>
          <w:noProof/>
        </w:rPr>
        <w:t>Jan-Feb 2012;33(1):110-117.</w:t>
      </w:r>
      <w:bookmarkEnd w:id="9"/>
    </w:p>
    <w:p w:rsidR="005F71E3" w:rsidRPr="005F71E3" w:rsidRDefault="005F71E3" w:rsidP="005F71E3">
      <w:pPr>
        <w:ind w:left="720" w:hanging="720"/>
        <w:rPr>
          <w:rFonts w:ascii="Calibri" w:hAnsi="Calibri" w:cs="Calibri"/>
          <w:noProof/>
        </w:rPr>
      </w:pPr>
      <w:bookmarkStart w:id="10" w:name="_ENREF_5"/>
      <w:r w:rsidRPr="005F71E3">
        <w:rPr>
          <w:rFonts w:ascii="Calibri" w:hAnsi="Calibri" w:cs="Calibri"/>
          <w:b/>
          <w:noProof/>
        </w:rPr>
        <w:t>5.</w:t>
      </w:r>
      <w:r w:rsidRPr="005F71E3">
        <w:rPr>
          <w:rFonts w:ascii="Calibri" w:hAnsi="Calibri" w:cs="Calibri"/>
          <w:noProof/>
        </w:rPr>
        <w:tab/>
        <w:t xml:space="preserve">Inouye M, Hashimoto H, Mio T, Sumino K. Influence of admission functional status on functional change after stroke rehabilitation. </w:t>
      </w:r>
      <w:r w:rsidRPr="005F71E3">
        <w:rPr>
          <w:rFonts w:ascii="Calibri" w:hAnsi="Calibri" w:cs="Calibri"/>
          <w:i/>
          <w:noProof/>
        </w:rPr>
        <w:t xml:space="preserve">American journal of physical medicine &amp; rehabilitation / Association of Academic Physiatrists. </w:t>
      </w:r>
      <w:r w:rsidRPr="005F71E3">
        <w:rPr>
          <w:rFonts w:ascii="Calibri" w:hAnsi="Calibri" w:cs="Calibri"/>
          <w:noProof/>
        </w:rPr>
        <w:t>Feb 2001;80(2):121-125; quiz 126, 146.</w:t>
      </w:r>
      <w:bookmarkEnd w:id="10"/>
    </w:p>
    <w:p w:rsidR="005F71E3" w:rsidRPr="005F71E3" w:rsidRDefault="005F71E3" w:rsidP="005F71E3">
      <w:pPr>
        <w:ind w:left="720" w:hanging="720"/>
        <w:rPr>
          <w:rFonts w:ascii="Calibri" w:hAnsi="Calibri" w:cs="Calibri"/>
          <w:noProof/>
        </w:rPr>
      </w:pPr>
      <w:bookmarkStart w:id="11" w:name="_ENREF_6"/>
      <w:r w:rsidRPr="005F71E3">
        <w:rPr>
          <w:rFonts w:ascii="Calibri" w:hAnsi="Calibri" w:cs="Calibri"/>
          <w:b/>
          <w:noProof/>
        </w:rPr>
        <w:t>6.</w:t>
      </w:r>
      <w:r w:rsidRPr="005F71E3">
        <w:rPr>
          <w:rFonts w:ascii="Calibri" w:hAnsi="Calibri" w:cs="Calibri"/>
          <w:noProof/>
        </w:rPr>
        <w:tab/>
        <w:t xml:space="preserve">Leung AW, Cheng SK, Mak AK, Leung KK, Li LS, Lee TM. Functional gain in hemorrhagic stroke patients is predicted by functional level and cognitive abilities measured at hospital admission. </w:t>
      </w:r>
      <w:r w:rsidRPr="005F71E3">
        <w:rPr>
          <w:rFonts w:ascii="Calibri" w:hAnsi="Calibri" w:cs="Calibri"/>
          <w:i/>
          <w:noProof/>
        </w:rPr>
        <w:t xml:space="preserve">NeuroRehabilitation. </w:t>
      </w:r>
      <w:r w:rsidRPr="005F71E3">
        <w:rPr>
          <w:rFonts w:ascii="Calibri" w:hAnsi="Calibri" w:cs="Calibri"/>
          <w:noProof/>
        </w:rPr>
        <w:t>2010;27(4):351-358.</w:t>
      </w:r>
      <w:bookmarkEnd w:id="11"/>
    </w:p>
    <w:p w:rsidR="005F71E3" w:rsidRPr="005F71E3" w:rsidRDefault="005F71E3" w:rsidP="005F71E3">
      <w:pPr>
        <w:ind w:left="720" w:hanging="720"/>
        <w:rPr>
          <w:rFonts w:ascii="Calibri" w:hAnsi="Calibri" w:cs="Calibri"/>
          <w:noProof/>
        </w:rPr>
      </w:pPr>
      <w:bookmarkStart w:id="12" w:name="_ENREF_7"/>
      <w:r w:rsidRPr="005F71E3">
        <w:rPr>
          <w:rFonts w:ascii="Calibri" w:hAnsi="Calibri" w:cs="Calibri"/>
          <w:b/>
          <w:noProof/>
        </w:rPr>
        <w:t>7.</w:t>
      </w:r>
      <w:r w:rsidRPr="005F71E3">
        <w:rPr>
          <w:rFonts w:ascii="Calibri" w:hAnsi="Calibri" w:cs="Calibri"/>
          <w:noProof/>
        </w:rPr>
        <w:tab/>
        <w:t xml:space="preserve">Franchignoni F, Tesio L, Martino MT, Benevolo E, Castagna M. Length of stay of stroke rehabilitation inpatients: prediction through the functional independence measure. </w:t>
      </w:r>
      <w:r w:rsidRPr="005F71E3">
        <w:rPr>
          <w:rFonts w:ascii="Calibri" w:hAnsi="Calibri" w:cs="Calibri"/>
          <w:i/>
          <w:noProof/>
        </w:rPr>
        <w:t xml:space="preserve">Annali dell'Istituto superiore di sanita. </w:t>
      </w:r>
      <w:r w:rsidRPr="005F71E3">
        <w:rPr>
          <w:rFonts w:ascii="Calibri" w:hAnsi="Calibri" w:cs="Calibri"/>
          <w:noProof/>
        </w:rPr>
        <w:t>1998;34(4):463-467.</w:t>
      </w:r>
      <w:bookmarkEnd w:id="12"/>
    </w:p>
    <w:p w:rsidR="005F71E3" w:rsidRPr="005F71E3" w:rsidRDefault="005F71E3" w:rsidP="005F71E3">
      <w:pPr>
        <w:ind w:left="720" w:hanging="720"/>
        <w:rPr>
          <w:rFonts w:ascii="Calibri" w:hAnsi="Calibri" w:cs="Calibri"/>
          <w:noProof/>
        </w:rPr>
      </w:pPr>
      <w:bookmarkStart w:id="13" w:name="_ENREF_8"/>
      <w:r w:rsidRPr="005F71E3">
        <w:rPr>
          <w:rFonts w:ascii="Calibri" w:hAnsi="Calibri" w:cs="Calibri"/>
          <w:b/>
          <w:noProof/>
        </w:rPr>
        <w:t>8.</w:t>
      </w:r>
      <w:r w:rsidRPr="005F71E3">
        <w:rPr>
          <w:rFonts w:ascii="Calibri" w:hAnsi="Calibri" w:cs="Calibri"/>
          <w:noProof/>
        </w:rPr>
        <w:tab/>
        <w:t xml:space="preserve">McClure JA, Salter K, Meyer M, Foley N, Kruger H, Teasell R. Predicting length of stay in patients admitted to stroke rehabilitation with high levels of functional independence. </w:t>
      </w:r>
      <w:r w:rsidRPr="005F71E3">
        <w:rPr>
          <w:rFonts w:ascii="Calibri" w:hAnsi="Calibri" w:cs="Calibri"/>
          <w:i/>
          <w:noProof/>
        </w:rPr>
        <w:t xml:space="preserve">Disability and rehabilitation. </w:t>
      </w:r>
      <w:r w:rsidRPr="005F71E3">
        <w:rPr>
          <w:rFonts w:ascii="Calibri" w:hAnsi="Calibri" w:cs="Calibri"/>
          <w:noProof/>
        </w:rPr>
        <w:t>2011;33(23-24):2356-2361.</w:t>
      </w:r>
      <w:bookmarkEnd w:id="13"/>
    </w:p>
    <w:p w:rsidR="005F71E3" w:rsidRDefault="005F71E3" w:rsidP="005F71E3">
      <w:pPr>
        <w:rPr>
          <w:rFonts w:ascii="Calibri" w:hAnsi="Calibri" w:cs="Calibri"/>
          <w:b/>
          <w:noProof/>
        </w:rPr>
      </w:pPr>
    </w:p>
    <w:p w:rsidR="007D7BE0" w:rsidRDefault="007D7BE0" w:rsidP="007D7BE0">
      <w:pPr>
        <w:ind w:left="0" w:firstLine="0"/>
        <w:rPr>
          <w:rFonts w:cstheme="minorHAnsi"/>
        </w:rPr>
      </w:pPr>
      <w:r>
        <w:fldChar w:fldCharType="end"/>
      </w:r>
    </w:p>
    <w:p w:rsidR="00D42AB4" w:rsidRDefault="00D42AB4" w:rsidP="002E2177">
      <w:pPr>
        <w:ind w:left="0" w:firstLine="0"/>
        <w:rPr>
          <w:i/>
          <w:iCs/>
          <w:highlight w:val="green"/>
          <w:u w:val="single"/>
        </w:rPr>
      </w:pPr>
    </w:p>
    <w:p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 xml:space="preserve">or health outcome </w:t>
      </w:r>
      <w:r w:rsidR="005857F8">
        <w:rPr>
          <w:i/>
          <w:iCs/>
          <w:highlight w:val="green"/>
        </w:rPr>
        <w:t xml:space="preserve">performance </w:t>
      </w:r>
      <w:r w:rsidRPr="00DA7FA2">
        <w:rPr>
          <w:i/>
          <w:iCs/>
          <w:highlight w:val="green"/>
        </w:rPr>
        <w:t>measures, no further information is require</w:t>
      </w:r>
      <w:r w:rsidR="005857F8">
        <w:rPr>
          <w:i/>
          <w:iCs/>
          <w:highlight w:val="green"/>
        </w:rPr>
        <w:t xml:space="preserve">d; however, you may provide evidence for any of the structures, processes, interventions, or service identified above. </w:t>
      </w:r>
    </w:p>
    <w:p w:rsidR="002B06BD" w:rsidRDefault="002B06BD" w:rsidP="002E2177">
      <w:pPr>
        <w:ind w:left="0" w:firstLine="0"/>
        <w:rPr>
          <w:b/>
          <w:iCs/>
          <w:caps/>
        </w:rPr>
      </w:pPr>
    </w:p>
    <w:p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rsidR="00496AF8" w:rsidRDefault="002B06BD" w:rsidP="002E2177">
      <w:pPr>
        <w:ind w:left="0" w:firstLine="0"/>
        <w:rPr>
          <w:i/>
          <w:iCs/>
        </w:rPr>
      </w:pPr>
      <w:bookmarkStart w:id="14" w:name="Section1a3"/>
      <w:bookmarkEnd w:id="14"/>
      <w:r w:rsidRPr="00B439DD">
        <w:rPr>
          <w:b/>
          <w:iCs/>
          <w:color w:val="0000FF"/>
        </w:rPr>
        <w:t>1</w:t>
      </w:r>
      <w:r>
        <w:rPr>
          <w:b/>
          <w:iCs/>
          <w:color w:val="0000FF"/>
        </w:rPr>
        <w:t>a</w:t>
      </w:r>
      <w:r w:rsidRPr="00B439DD">
        <w:rPr>
          <w:b/>
          <w:iCs/>
          <w:color w:val="0000FF"/>
        </w:rPr>
        <w:t>.3.</w:t>
      </w:r>
      <w:r w:rsidRPr="00E1664B">
        <w:rPr>
          <w:i/>
          <w:iCs/>
          <w:color w:val="0000FF"/>
        </w:rPr>
        <w:t xml:space="preserve"> </w:t>
      </w:r>
      <w:proofErr w:type="gramStart"/>
      <w:r w:rsidRPr="00C5180E">
        <w:rPr>
          <w:b/>
          <w:iCs/>
        </w:rPr>
        <w:t>Briefly</w:t>
      </w:r>
      <w:proofErr w:type="gramEnd"/>
      <w:r w:rsidRPr="00C5180E">
        <w:rPr>
          <w:b/>
          <w:iCs/>
        </w:rPr>
        <w:t xml:space="preserve">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rsidR="007C1887" w:rsidRDefault="007C1887" w:rsidP="002E2177">
      <w:pPr>
        <w:ind w:left="0" w:firstLine="0"/>
      </w:pPr>
    </w:p>
    <w:p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proofErr w:type="gramStart"/>
      <w:r w:rsidRPr="00CB06C9">
        <w:rPr>
          <w:b/>
        </w:rPr>
        <w:t>What</w:t>
      </w:r>
      <w:proofErr w:type="gramEnd"/>
      <w:r w:rsidRPr="00CB06C9">
        <w:rPr>
          <w:b/>
        </w:rPr>
        <w:t xml:space="preserve">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rsidR="00FD4D82" w:rsidRDefault="003900EC"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rsidR="00FD4D82" w:rsidRDefault="003900EC"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rsidR="007573F0" w:rsidRDefault="003900EC"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rsidR="00FD4D82" w:rsidRDefault="003900EC"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rsidR="00FD4D82" w:rsidRDefault="00FD4D82" w:rsidP="002E2177">
      <w:pPr>
        <w:ind w:left="0" w:firstLine="0"/>
      </w:pPr>
    </w:p>
    <w:p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rsidR="00201FF9" w:rsidRDefault="00201FF9" w:rsidP="002E2177">
      <w:pPr>
        <w:ind w:left="0" w:firstLine="0"/>
        <w:rPr>
          <w:b/>
          <w:color w:val="0070C0"/>
        </w:rPr>
      </w:pPr>
    </w:p>
    <w:p w:rsidR="009B5BEA" w:rsidRPr="00FD4D82" w:rsidRDefault="00FD4D82" w:rsidP="002E2177">
      <w:pPr>
        <w:ind w:left="0" w:firstLine="0"/>
        <w:rPr>
          <w:b/>
        </w:rPr>
      </w:pPr>
      <w:bookmarkStart w:id="15" w:name="Section1a4"/>
      <w:bookmarkEnd w:id="15"/>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rsidR="00D53405" w:rsidRPr="00D53405" w:rsidRDefault="00D53405" w:rsidP="002E2177">
      <w:pPr>
        <w:ind w:left="0" w:firstLine="0"/>
        <w:rPr>
          <w:rFonts w:ascii="Arial" w:hAnsi="Arial" w:cs="Arial"/>
          <w:sz w:val="20"/>
          <w:szCs w:val="20"/>
        </w:rPr>
      </w:pPr>
    </w:p>
    <w:p w:rsidR="006F4B7F" w:rsidRDefault="006F4B7F" w:rsidP="002E2177">
      <w:pPr>
        <w:ind w:left="0" w:firstLine="0"/>
        <w:rPr>
          <w:color w:val="0000FF"/>
        </w:rPr>
      </w:pPr>
    </w:p>
    <w:p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rsidR="00496AF8" w:rsidRPr="000D649E" w:rsidRDefault="00496AF8" w:rsidP="002E2177">
      <w:pPr>
        <w:ind w:left="0" w:firstLine="0"/>
      </w:pPr>
    </w:p>
    <w:p w:rsidR="00496AF8" w:rsidRPr="00DA7FA2" w:rsidRDefault="00496AF8" w:rsidP="002E2177">
      <w:pPr>
        <w:ind w:left="0" w:firstLine="0"/>
      </w:pPr>
    </w:p>
    <w:p w:rsidR="008A45F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rsidR="008A45F3" w:rsidRDefault="008A45F3" w:rsidP="00265702">
      <w:pPr>
        <w:ind w:left="0" w:firstLine="0"/>
      </w:pPr>
    </w:p>
    <w:p w:rsidR="008A45F3" w:rsidRDefault="008A45F3" w:rsidP="00265702">
      <w:pPr>
        <w:ind w:left="0" w:firstLine="0"/>
      </w:pPr>
    </w:p>
    <w:p w:rsidR="00265702" w:rsidRPr="007573F0" w:rsidRDefault="00965FF6" w:rsidP="00265702">
      <w:pPr>
        <w:ind w:left="0" w:firstLine="0"/>
      </w:pPr>
      <w:r w:rsidRPr="00030F43">
        <w:rPr>
          <w:b/>
          <w:color w:val="0000FF"/>
        </w:rPr>
        <w:t>1a.4.4.</w:t>
      </w:r>
      <w:r w:rsidRPr="00265702">
        <w:rPr>
          <w:b/>
          <w:color w:val="17365D" w:themeColor="text2" w:themeShade="B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A12762" w:rsidRDefault="00A12762" w:rsidP="00265702">
      <w:pPr>
        <w:ind w:left="0" w:firstLine="0"/>
        <w:rPr>
          <w:b/>
        </w:rPr>
      </w:pPr>
    </w:p>
    <w:p w:rsidR="00850C35" w:rsidRDefault="00850C35" w:rsidP="00265702">
      <w:pPr>
        <w:ind w:left="0" w:firstLine="0"/>
        <w:rPr>
          <w:b/>
        </w:rPr>
      </w:pPr>
    </w:p>
    <w:p w:rsidR="00A12762" w:rsidRPr="00030F43" w:rsidRDefault="00776F6D" w:rsidP="002E2177">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rsidR="00736AEC" w:rsidRDefault="00736AEC" w:rsidP="002E2177">
      <w:pPr>
        <w:ind w:left="432" w:hanging="432"/>
        <w:rPr>
          <w:color w:val="0000FF"/>
        </w:rPr>
      </w:pPr>
    </w:p>
    <w:p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rsidR="00FC32D3" w:rsidRDefault="003900EC"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hyperlink w:anchor="Section1a7" w:history="1">
        <w:r w:rsidR="00FC32D3" w:rsidRPr="009477D6">
          <w:rPr>
            <w:rStyle w:val="Hyperlink"/>
            <w:b/>
            <w:i/>
            <w:highlight w:val="green"/>
          </w:rPr>
          <w:t>1a.7</w:t>
        </w:r>
      </w:hyperlink>
    </w:p>
    <w:p w:rsidR="00736AEC" w:rsidRDefault="003900EC"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736AEC">
        <w:rPr>
          <w:b/>
        </w:rPr>
        <w:t xml:space="preserve"> </w:t>
      </w:r>
      <w:proofErr w:type="gramStart"/>
      <w:r w:rsidR="00736AEC" w:rsidRPr="00736AEC">
        <w:t>No</w:t>
      </w:r>
      <w:r w:rsidR="00307FA5">
        <w:t xml:space="preserve">  </w:t>
      </w:r>
      <w:r w:rsidR="007C1887" w:rsidRPr="00701CC3">
        <w:rPr>
          <w:rFonts w:cstheme="minorHAnsi"/>
          <w:b/>
          <w:highlight w:val="green"/>
        </w:rPr>
        <w:t>→</w:t>
      </w:r>
      <w:proofErr w:type="gramEnd"/>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hyperlink w:anchor="Section1a6" w:history="1">
        <w:r w:rsidR="0087564A" w:rsidRPr="00701CC3">
          <w:rPr>
            <w:rStyle w:val="Hyperlink"/>
            <w:b/>
            <w:i/>
            <w:highlight w:val="green"/>
          </w:rPr>
          <w:t>1a.6</w:t>
        </w:r>
      </w:hyperlink>
      <w:r w:rsidR="0087564A" w:rsidRPr="00701CC3">
        <w:rPr>
          <w:rStyle w:val="Hyperlink"/>
          <w:b/>
          <w:i/>
          <w:color w:val="auto"/>
          <w:highlight w:val="green"/>
          <w:u w:val="none"/>
        </w:rPr>
        <w:t xml:space="preserve"> and </w:t>
      </w:r>
      <w:hyperlink w:anchor="Section1a7" w:history="1">
        <w:r w:rsidR="0087564A" w:rsidRPr="00701CC3">
          <w:rPr>
            <w:rStyle w:val="Hyperlink"/>
            <w:b/>
            <w:i/>
            <w:highlight w:val="green"/>
          </w:rPr>
          <w:t>1a.7</w:t>
        </w:r>
      </w:hyperlink>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hyperlink w:anchor="Section1a7" w:history="1">
        <w:r w:rsidR="009477D6" w:rsidRPr="00701CC3">
          <w:rPr>
            <w:rStyle w:val="Hyperlink"/>
            <w:b/>
            <w:i/>
            <w:highlight w:val="green"/>
          </w:rPr>
          <w:t>1a.7</w:t>
        </w:r>
      </w:hyperlink>
    </w:p>
    <w:p w:rsidR="00736AEC" w:rsidRDefault="00736AEC" w:rsidP="00736AEC">
      <w:pPr>
        <w:rPr>
          <w:b/>
        </w:rPr>
      </w:pPr>
    </w:p>
    <w:p w:rsidR="00EE5AF6" w:rsidRDefault="00EE5AF6" w:rsidP="00307FA5">
      <w:pPr>
        <w:ind w:left="0" w:firstLine="0"/>
        <w:rPr>
          <w:color w:val="0000FF"/>
        </w:rPr>
      </w:pPr>
    </w:p>
    <w:p w:rsidR="00EE5AF6" w:rsidRDefault="00EE5AF6" w:rsidP="00307FA5">
      <w:pPr>
        <w:ind w:left="0" w:firstLine="0"/>
        <w:rPr>
          <w:color w:val="0000FF"/>
        </w:rPr>
      </w:pPr>
      <w:bookmarkStart w:id="16" w:name="Section1a5"/>
      <w:bookmarkEnd w:id="16"/>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rsidR="00307FA5" w:rsidRPr="00D53405" w:rsidRDefault="00307FA5" w:rsidP="00307FA5">
      <w:pPr>
        <w:ind w:left="0" w:firstLine="0"/>
        <w:rPr>
          <w:rFonts w:ascii="Arial" w:hAnsi="Arial" w:cs="Arial"/>
          <w:sz w:val="20"/>
          <w:szCs w:val="20"/>
        </w:rPr>
      </w:pPr>
    </w:p>
    <w:p w:rsidR="00307FA5" w:rsidRPr="00D53405" w:rsidRDefault="00307FA5" w:rsidP="00307FA5">
      <w:pPr>
        <w:ind w:left="0" w:firstLine="0"/>
      </w:pPr>
    </w:p>
    <w:p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rsidR="00307FA5" w:rsidRPr="000D649E" w:rsidRDefault="00307FA5" w:rsidP="00307FA5">
      <w:pPr>
        <w:ind w:left="0" w:firstLine="0"/>
      </w:pPr>
    </w:p>
    <w:p w:rsidR="00307FA5" w:rsidRPr="00DA7FA2" w:rsidRDefault="00307FA5" w:rsidP="00307FA5">
      <w:pPr>
        <w:ind w:left="0" w:firstLine="0"/>
      </w:pPr>
    </w:p>
    <w:p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rsidR="008A45F3" w:rsidRDefault="008A45F3" w:rsidP="00307FA5">
      <w:pPr>
        <w:ind w:left="0" w:firstLine="0"/>
      </w:pPr>
    </w:p>
    <w:p w:rsidR="00307FA5" w:rsidRPr="00095EC9" w:rsidRDefault="008A45F3" w:rsidP="00307FA5">
      <w:pPr>
        <w:ind w:left="0" w:firstLine="0"/>
      </w:pPr>
      <w:r w:rsidRPr="00030F43">
        <w:rPr>
          <w:b/>
          <w:color w:val="0000FF"/>
        </w:rPr>
        <w:t>1a.5.4.</w:t>
      </w:r>
      <w:r>
        <w:rPr>
          <w:b/>
          <w:color w:val="0000F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rsidR="00307FA5" w:rsidRDefault="00307FA5" w:rsidP="00307FA5">
      <w:pPr>
        <w:ind w:left="0" w:firstLine="0"/>
        <w:rPr>
          <w:b/>
          <w:color w:val="0000FF"/>
        </w:rPr>
      </w:pPr>
    </w:p>
    <w:p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rsidR="00736AEC" w:rsidRPr="00736AEC" w:rsidRDefault="00736AEC" w:rsidP="002E2177">
      <w:pPr>
        <w:ind w:left="432" w:hanging="432"/>
        <w:rPr>
          <w:b/>
        </w:rPr>
      </w:pPr>
    </w:p>
    <w:p w:rsidR="00EE5AF6" w:rsidRPr="00201FF9" w:rsidRDefault="00923295" w:rsidP="002E2177">
      <w:pPr>
        <w:ind w:left="432" w:hanging="432"/>
        <w:rPr>
          <w:i/>
        </w:rPr>
      </w:pPr>
      <w:r w:rsidRPr="00923295">
        <w:rPr>
          <w:b/>
          <w:i/>
          <w:highlight w:val="green"/>
        </w:rPr>
        <w:t xml:space="preserve">Complete section </w:t>
      </w:r>
      <w:hyperlink w:anchor="Section1a7" w:history="1">
        <w:r w:rsidR="009477D6" w:rsidRPr="009477D6">
          <w:rPr>
            <w:rStyle w:val="Hyperlink"/>
            <w:b/>
            <w:i/>
            <w:highlight w:val="green"/>
          </w:rPr>
          <w:t>1a.7</w:t>
        </w:r>
      </w:hyperlink>
    </w:p>
    <w:p w:rsidR="00EE5AF6" w:rsidRDefault="00EE5AF6" w:rsidP="002E2177">
      <w:pPr>
        <w:ind w:left="432" w:hanging="432"/>
        <w:rPr>
          <w:b/>
          <w:color w:val="0000FF"/>
        </w:rPr>
      </w:pPr>
    </w:p>
    <w:p w:rsidR="00EE5AF6" w:rsidRPr="00DF278A" w:rsidRDefault="00EE5AF6" w:rsidP="002E2177">
      <w:pPr>
        <w:ind w:left="432" w:hanging="432"/>
      </w:pPr>
      <w:bookmarkStart w:id="17" w:name="Section1a6"/>
      <w:bookmarkEnd w:id="17"/>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rsidR="00EE5AF6" w:rsidRDefault="00EE5AF6" w:rsidP="00EE5AF6">
      <w:pPr>
        <w:ind w:left="0" w:firstLine="0"/>
      </w:pPr>
      <w:r w:rsidRPr="00DA7FA2">
        <w:t xml:space="preserve"> </w:t>
      </w:r>
    </w:p>
    <w:p w:rsidR="00EE5AF6" w:rsidRPr="00D53405" w:rsidRDefault="00EE5AF6" w:rsidP="00EE5AF6">
      <w:pPr>
        <w:ind w:left="0" w:firstLine="0"/>
        <w:rPr>
          <w:rFonts w:ascii="Arial" w:hAnsi="Arial" w:cs="Arial"/>
          <w:sz w:val="20"/>
          <w:szCs w:val="20"/>
        </w:rPr>
      </w:pPr>
    </w:p>
    <w:p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rsidR="005D0FDB" w:rsidRDefault="005D0FDB" w:rsidP="00EE5AF6">
      <w:pPr>
        <w:ind w:left="0" w:firstLine="0"/>
      </w:pPr>
    </w:p>
    <w:p w:rsidR="00C84623" w:rsidRDefault="00C84623" w:rsidP="00EE5AF6">
      <w:pPr>
        <w:ind w:left="0" w:firstLine="0"/>
      </w:pPr>
      <w:r w:rsidRPr="00923295">
        <w:rPr>
          <w:b/>
          <w:i/>
          <w:highlight w:val="green"/>
        </w:rPr>
        <w:t xml:space="preserve">Complete section </w:t>
      </w:r>
      <w:hyperlink w:anchor="Section1a7" w:history="1">
        <w:r w:rsidRPr="009477D6">
          <w:rPr>
            <w:rStyle w:val="Hyperlink"/>
            <w:b/>
            <w:i/>
            <w:highlight w:val="green"/>
          </w:rPr>
          <w:t>1a.7</w:t>
        </w:r>
      </w:hyperlink>
    </w:p>
    <w:p w:rsidR="00C84623" w:rsidRDefault="00C84623" w:rsidP="00EE5AF6">
      <w:pPr>
        <w:ind w:left="0" w:firstLine="0"/>
        <w:rPr>
          <w:b/>
          <w:color w:val="0000FF"/>
        </w:rPr>
      </w:pPr>
    </w:p>
    <w:p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proofErr w:type="gramStart"/>
      <w:r>
        <w:rPr>
          <w:b/>
        </w:rPr>
        <w:t>What</w:t>
      </w:r>
      <w:proofErr w:type="gramEnd"/>
      <w:r>
        <w:rPr>
          <w:b/>
        </w:rPr>
        <w:t xml:space="preserve"> was the specific structure, treatment, intervention, service, or intermediate outcome addressed in the evidence review?</w:t>
      </w:r>
      <w:r w:rsidRPr="00DA7FA2">
        <w:t xml:space="preserve"> </w:t>
      </w:r>
    </w:p>
    <w:p w:rsidR="00EE5AF6" w:rsidRPr="00DA7FA2" w:rsidRDefault="00EE5AF6" w:rsidP="00EE5AF6">
      <w:pPr>
        <w:ind w:left="0" w:firstLine="0"/>
      </w:pPr>
    </w:p>
    <w:p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rsidR="00095EC9" w:rsidRDefault="00095EC9" w:rsidP="00EA79C9">
      <w:pPr>
        <w:ind w:left="0" w:firstLine="0"/>
      </w:pPr>
    </w:p>
    <w:p w:rsidR="00EA79C9" w:rsidRPr="00352B52" w:rsidRDefault="00095EC9" w:rsidP="00EA79C9">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proofErr w:type="gramStart"/>
      <w:r w:rsidR="00EA79C9">
        <w:rPr>
          <w:b/>
        </w:rPr>
        <w:t>Provide</w:t>
      </w:r>
      <w:proofErr w:type="gramEnd"/>
      <w:r w:rsidR="00EA79C9">
        <w:rPr>
          <w:b/>
        </w:rPr>
        <w:t xml:space="preserve"> all </w:t>
      </w:r>
      <w:r w:rsidR="00205857">
        <w:rPr>
          <w:b/>
        </w:rPr>
        <w:t xml:space="preserve">other </w:t>
      </w:r>
      <w:r w:rsidR="00EA79C9">
        <w:rPr>
          <w:b/>
        </w:rPr>
        <w:t xml:space="preserve">grades and associated definitions for strength of the evidence in the </w:t>
      </w:r>
      <w:r w:rsidR="00C54E40">
        <w:rPr>
          <w:b/>
        </w:rPr>
        <w:t xml:space="preserve">grading system. </w:t>
      </w:r>
    </w:p>
    <w:p w:rsidR="00A12762" w:rsidRPr="009B5BEA" w:rsidRDefault="00A12762" w:rsidP="002E2177">
      <w:pPr>
        <w:ind w:left="0" w:firstLine="0"/>
        <w:rPr>
          <w:noProof/>
        </w:rPr>
      </w:pPr>
    </w:p>
    <w:p w:rsidR="00496AF8" w:rsidRPr="00E51798" w:rsidRDefault="00496AF8" w:rsidP="002E2177">
      <w:pPr>
        <w:ind w:left="432" w:hanging="432"/>
      </w:pPr>
      <w:bookmarkStart w:id="18" w:name="Section1a7"/>
      <w:bookmarkEnd w:id="18"/>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Pr="00E51798">
            <w:rPr>
              <w:rStyle w:val="PlaceholderText"/>
              <w:rFonts w:cstheme="minorHAnsi"/>
              <w:color w:val="A6A6A6" w:themeColor="background1" w:themeShade="A6"/>
            </w:rPr>
            <w:t>Click here to enter date range</w:t>
          </w:r>
        </w:sdtContent>
      </w:sdt>
    </w:p>
    <w:p w:rsidR="00496AF8" w:rsidRPr="00A91C0B" w:rsidRDefault="00496AF8" w:rsidP="002E2177">
      <w:pPr>
        <w:ind w:left="0" w:firstLine="0"/>
        <w:rPr>
          <w:noProof/>
        </w:rPr>
      </w:pPr>
    </w:p>
    <w:p w:rsidR="0039020B" w:rsidRDefault="0039020B" w:rsidP="002E2177">
      <w:pPr>
        <w:ind w:left="0" w:firstLine="0"/>
        <w:rPr>
          <w:b/>
          <w:noProof/>
        </w:rPr>
      </w:pPr>
    </w:p>
    <w:p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CB06C9">
        <w:rPr>
          <w:b/>
          <w:noProof/>
          <w:color w:val="0000FF"/>
        </w:rPr>
        <w:lastRenderedPageBreak/>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9E37BD">
        <w:rPr>
          <w:noProof/>
        </w:rPr>
        <w:t xml:space="preserve"> </w:t>
      </w:r>
    </w:p>
    <w:p w:rsidR="00496AF8" w:rsidRPr="000D649E" w:rsidRDefault="00496AF8" w:rsidP="002E2177">
      <w:pPr>
        <w:ind w:left="0" w:firstLine="0"/>
      </w:pPr>
    </w:p>
    <w:p w:rsidR="00496AF8" w:rsidRDefault="001B772D" w:rsidP="002E2177">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496AF8" w:rsidRDefault="00496AF8" w:rsidP="002E2177">
      <w:pPr>
        <w:ind w:left="0" w:firstLine="0"/>
      </w:pPr>
    </w:p>
    <w:p w:rsidR="00D14F0B" w:rsidRPr="00A91C0B" w:rsidRDefault="00D14F0B"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pPr>
    </w:p>
    <w:p w:rsidR="009B5BEA" w:rsidRPr="004F0883" w:rsidRDefault="009B5BEA" w:rsidP="002E2177">
      <w:pPr>
        <w:ind w:left="0" w:firstLine="0"/>
      </w:pPr>
    </w:p>
    <w:p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proofErr w:type="gramStart"/>
      <w:r w:rsidR="00496AF8" w:rsidRPr="00C5180E">
        <w:rPr>
          <w:b/>
        </w:rPr>
        <w:t>What</w:t>
      </w:r>
      <w:proofErr w:type="gramEnd"/>
      <w:r w:rsidR="00496AF8" w:rsidRPr="00C5180E">
        <w:rPr>
          <w:b/>
        </w:rPr>
        <w:t xml:space="preserve">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rsidR="00496AF8" w:rsidRDefault="00496AF8" w:rsidP="002E2177">
      <w:pPr>
        <w:ind w:left="0" w:firstLine="0"/>
      </w:pPr>
    </w:p>
    <w:p w:rsidR="00496AF8" w:rsidRPr="00A91C0B" w:rsidRDefault="00496A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rsidR="00837121" w:rsidRDefault="00837121" w:rsidP="002E2177">
      <w:pPr>
        <w:ind w:left="0" w:firstLine="0"/>
        <w:rPr>
          <w:b/>
          <w:color w:val="0070C0"/>
        </w:rPr>
      </w:pPr>
    </w:p>
    <w:p w:rsidR="0094689F" w:rsidRDefault="0094689F" w:rsidP="002E2177">
      <w:pPr>
        <w:ind w:left="0" w:firstLine="0"/>
        <w:rPr>
          <w:b/>
          <w:color w:val="0070C0"/>
        </w:rPr>
      </w:pPr>
    </w:p>
    <w:p w:rsidR="00837121" w:rsidRPr="00837121" w:rsidRDefault="00837121" w:rsidP="002E2177">
      <w:pPr>
        <w:ind w:left="0" w:firstLine="0"/>
        <w:rPr>
          <w:b/>
        </w:rPr>
      </w:pPr>
      <w:bookmarkStart w:id="19" w:name="Section1a8"/>
      <w:bookmarkEnd w:id="19"/>
      <w:r w:rsidRPr="0015535B">
        <w:rPr>
          <w:b/>
          <w:color w:val="0000FF"/>
        </w:rPr>
        <w:t xml:space="preserve">1a.8 </w:t>
      </w:r>
      <w:r w:rsidRPr="00837121">
        <w:rPr>
          <w:b/>
        </w:rPr>
        <w:t>OTHER SOURCE OF EVIDENCE</w:t>
      </w:r>
    </w:p>
    <w:p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837121" w:rsidRDefault="00837121" w:rsidP="002E2177">
      <w:pPr>
        <w:ind w:left="0" w:firstLine="0"/>
      </w:pPr>
    </w:p>
    <w:p w:rsidR="00837121" w:rsidRDefault="00837121" w:rsidP="002E2177">
      <w:pPr>
        <w:ind w:left="0" w:firstLine="0"/>
        <w:rPr>
          <w:b/>
        </w:rPr>
      </w:pPr>
      <w:r w:rsidRPr="0015535B">
        <w:rPr>
          <w:b/>
          <w:color w:val="0000FF"/>
        </w:rPr>
        <w:t>1a.8.1</w:t>
      </w:r>
      <w:r w:rsidRPr="006C7F30">
        <w:rPr>
          <w:color w:val="0070C0"/>
        </w:rPr>
        <w:t xml:space="preserve"> </w:t>
      </w:r>
      <w:proofErr w:type="gramStart"/>
      <w:r w:rsidRPr="006C7F30">
        <w:rPr>
          <w:b/>
        </w:rPr>
        <w:t>What</w:t>
      </w:r>
      <w:proofErr w:type="gramEnd"/>
      <w:r w:rsidRPr="006C7F30">
        <w:rPr>
          <w:b/>
        </w:rPr>
        <w:t xml:space="preserve"> process was used to identify the evidence?</w:t>
      </w:r>
    </w:p>
    <w:p w:rsidR="007D7BE0" w:rsidRDefault="007D7BE0" w:rsidP="002E2177">
      <w:pPr>
        <w:ind w:left="0" w:firstLine="0"/>
        <w:rPr>
          <w:b/>
        </w:rPr>
      </w:pPr>
    </w:p>
    <w:p w:rsidR="007D7BE0" w:rsidRPr="004C28EA" w:rsidRDefault="001F3DD0" w:rsidP="002E2177">
      <w:pPr>
        <w:ind w:left="0" w:firstLine="0"/>
      </w:pPr>
      <w:r w:rsidRPr="004C28EA">
        <w:rPr>
          <w:rFonts w:ascii="Calibri" w:eastAsia="Calibri" w:hAnsi="Calibri" w:cs="Times New Roman"/>
        </w:rPr>
        <w:t>A comprehensive review of the existing, published</w:t>
      </w:r>
      <w:r w:rsidR="007D7BE0" w:rsidRPr="004C28EA">
        <w:rPr>
          <w:rFonts w:ascii="Calibri" w:eastAsia="Calibri" w:hAnsi="Calibri" w:cs="Times New Roman"/>
        </w:rPr>
        <w:t xml:space="preserve"> literature </w:t>
      </w:r>
      <w:r w:rsidRPr="004C28EA">
        <w:rPr>
          <w:rFonts w:ascii="Calibri" w:eastAsia="Calibri" w:hAnsi="Calibri" w:cs="Times New Roman"/>
        </w:rPr>
        <w:t xml:space="preserve">was performed using </w:t>
      </w:r>
      <w:r w:rsidR="007D7BE0" w:rsidRPr="004C28EA">
        <w:rPr>
          <w:rFonts w:ascii="Calibri" w:eastAsia="Calibri" w:hAnsi="Calibri" w:cs="Times New Roman"/>
        </w:rPr>
        <w:t xml:space="preserve">PubMed and </w:t>
      </w:r>
      <w:r w:rsidRPr="004C28EA">
        <w:rPr>
          <w:rFonts w:ascii="Calibri" w:eastAsia="Calibri" w:hAnsi="Calibri" w:cs="Times New Roman"/>
        </w:rPr>
        <w:t>other scholarly search engines. A complete bibliography is maintained by</w:t>
      </w:r>
      <w:r w:rsidR="007D7BE0" w:rsidRPr="004C28EA">
        <w:rPr>
          <w:rFonts w:ascii="Calibri" w:eastAsia="Calibri" w:hAnsi="Calibri" w:cs="Times New Roman"/>
        </w:rPr>
        <w:t xml:space="preserve"> UDSMR for all</w:t>
      </w:r>
      <w:r w:rsidRPr="004C28EA">
        <w:rPr>
          <w:rFonts w:ascii="Calibri" w:eastAsia="Calibri" w:hAnsi="Calibri" w:cs="Times New Roman"/>
        </w:rPr>
        <w:t xml:space="preserve"> journal articles using the</w:t>
      </w:r>
      <w:r w:rsidR="007D7BE0" w:rsidRPr="004C28EA">
        <w:rPr>
          <w:rFonts w:ascii="Calibri" w:eastAsia="Calibri" w:hAnsi="Calibri" w:cs="Times New Roman"/>
        </w:rPr>
        <w:t xml:space="preserve"> FIM instrument </w:t>
      </w:r>
      <w:r w:rsidRPr="004C28EA">
        <w:rPr>
          <w:rFonts w:ascii="Calibri" w:eastAsia="Calibri" w:hAnsi="Calibri" w:cs="Times New Roman"/>
        </w:rPr>
        <w:t>both nationally and internationally. The bibliography is attached in the Appendix.</w:t>
      </w:r>
    </w:p>
    <w:p w:rsidR="00837121" w:rsidRDefault="00837121" w:rsidP="002E2177">
      <w:pPr>
        <w:ind w:left="0" w:firstLine="0"/>
      </w:pPr>
    </w:p>
    <w:p w:rsidR="00970B83"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rsidR="00837121" w:rsidRDefault="00837121" w:rsidP="002E2177">
      <w:pPr>
        <w:ind w:left="0" w:firstLine="0"/>
      </w:pPr>
    </w:p>
    <w:p w:rsidR="001F3DD0" w:rsidRPr="004C28EA" w:rsidRDefault="001F3DD0" w:rsidP="00AB1C55">
      <w:pPr>
        <w:rPr>
          <w:rFonts w:ascii="Calibri" w:hAnsi="Calibri"/>
          <w:sz w:val="20"/>
          <w:szCs w:val="20"/>
        </w:rPr>
      </w:pPr>
      <w:r w:rsidRPr="004C28EA">
        <w:rPr>
          <w:rFonts w:ascii="Calibri" w:hAnsi="Calibri"/>
          <w:sz w:val="20"/>
          <w:szCs w:val="20"/>
        </w:rPr>
        <w:t xml:space="preserve">Abbreviate citations and summaries, along selected articles are discussed below. See Appendix for expanded </w:t>
      </w:r>
      <w:r w:rsidR="00A22E9A" w:rsidRPr="004C28EA">
        <w:rPr>
          <w:rFonts w:ascii="Calibri" w:hAnsi="Calibri"/>
          <w:sz w:val="20"/>
          <w:szCs w:val="20"/>
        </w:rPr>
        <w:t>citations.</w:t>
      </w:r>
    </w:p>
    <w:p w:rsidR="001F3DD0" w:rsidRPr="004C28EA" w:rsidRDefault="001F3DD0" w:rsidP="00AB1C55">
      <w:pPr>
        <w:rPr>
          <w:rFonts w:ascii="Calibri" w:hAnsi="Calibri"/>
          <w:sz w:val="20"/>
          <w:szCs w:val="20"/>
        </w:rPr>
      </w:pPr>
    </w:p>
    <w:p w:rsidR="00AB1C55" w:rsidRPr="004C28EA" w:rsidRDefault="00AB1C55" w:rsidP="00AB1C55">
      <w:pPr>
        <w:rPr>
          <w:rFonts w:ascii="Calibri" w:hAnsi="Calibri"/>
          <w:sz w:val="20"/>
          <w:szCs w:val="20"/>
        </w:rPr>
      </w:pPr>
      <w:proofErr w:type="spellStart"/>
      <w:r w:rsidRPr="004C28EA">
        <w:rPr>
          <w:rFonts w:ascii="Calibri" w:hAnsi="Calibri"/>
          <w:sz w:val="20"/>
          <w:szCs w:val="20"/>
        </w:rPr>
        <w:t>Franchignoni</w:t>
      </w:r>
      <w:proofErr w:type="spellEnd"/>
      <w:r w:rsidRPr="004C28EA">
        <w:rPr>
          <w:rFonts w:ascii="Calibri" w:hAnsi="Calibri"/>
          <w:sz w:val="20"/>
          <w:szCs w:val="20"/>
        </w:rPr>
        <w:t xml:space="preserve"> F, </w:t>
      </w:r>
      <w:proofErr w:type="spellStart"/>
      <w:r w:rsidRPr="004C28EA">
        <w:rPr>
          <w:rFonts w:ascii="Calibri" w:hAnsi="Calibri"/>
          <w:sz w:val="20"/>
          <w:szCs w:val="20"/>
        </w:rPr>
        <w:t>Tesio</w:t>
      </w:r>
      <w:proofErr w:type="spellEnd"/>
      <w:r w:rsidRPr="004C28EA">
        <w:rPr>
          <w:rFonts w:ascii="Calibri" w:hAnsi="Calibri"/>
          <w:sz w:val="20"/>
          <w:szCs w:val="20"/>
        </w:rPr>
        <w:t xml:space="preserve"> L, Martino MT, </w:t>
      </w:r>
      <w:proofErr w:type="spellStart"/>
      <w:r w:rsidRPr="004C28EA">
        <w:rPr>
          <w:rFonts w:ascii="Calibri" w:hAnsi="Calibri"/>
          <w:sz w:val="20"/>
          <w:szCs w:val="20"/>
        </w:rPr>
        <w:t>Benevolo</w:t>
      </w:r>
      <w:proofErr w:type="spellEnd"/>
      <w:r w:rsidRPr="004C28EA">
        <w:rPr>
          <w:rFonts w:ascii="Calibri" w:hAnsi="Calibri"/>
          <w:sz w:val="20"/>
          <w:szCs w:val="20"/>
        </w:rPr>
        <w:t xml:space="preserve"> E, </w:t>
      </w:r>
      <w:proofErr w:type="spellStart"/>
      <w:r w:rsidRPr="004C28EA">
        <w:rPr>
          <w:rFonts w:ascii="Calibri" w:hAnsi="Calibri"/>
          <w:sz w:val="20"/>
          <w:szCs w:val="20"/>
        </w:rPr>
        <w:t>Castagna</w:t>
      </w:r>
      <w:proofErr w:type="spellEnd"/>
      <w:r w:rsidRPr="004C28EA">
        <w:rPr>
          <w:rFonts w:ascii="Calibri" w:hAnsi="Calibri"/>
          <w:sz w:val="20"/>
          <w:szCs w:val="20"/>
        </w:rPr>
        <w:t xml:space="preserve"> M. Length of stay of stroke rehabilitation inpatients: prediction through the functional independence measure. </w:t>
      </w:r>
      <w:proofErr w:type="spellStart"/>
      <w:proofErr w:type="gramStart"/>
      <w:r w:rsidRPr="004C28EA">
        <w:rPr>
          <w:rFonts w:ascii="Calibri" w:hAnsi="Calibri"/>
          <w:sz w:val="20"/>
          <w:szCs w:val="20"/>
        </w:rPr>
        <w:t>Annali</w:t>
      </w:r>
      <w:proofErr w:type="spellEnd"/>
      <w:r w:rsidRPr="004C28EA">
        <w:rPr>
          <w:rFonts w:ascii="Calibri" w:hAnsi="Calibri"/>
          <w:sz w:val="20"/>
          <w:szCs w:val="20"/>
        </w:rPr>
        <w:t xml:space="preserve"> </w:t>
      </w:r>
      <w:proofErr w:type="spellStart"/>
      <w:r w:rsidRPr="004C28EA">
        <w:rPr>
          <w:rFonts w:ascii="Calibri" w:hAnsi="Calibri"/>
          <w:sz w:val="20"/>
          <w:szCs w:val="20"/>
        </w:rPr>
        <w:t>dell´Istituto</w:t>
      </w:r>
      <w:proofErr w:type="spellEnd"/>
      <w:r w:rsidRPr="004C28EA">
        <w:rPr>
          <w:rFonts w:ascii="Calibri" w:hAnsi="Calibri"/>
          <w:sz w:val="20"/>
          <w:szCs w:val="20"/>
        </w:rPr>
        <w:t xml:space="preserve"> </w:t>
      </w:r>
      <w:proofErr w:type="spellStart"/>
      <w:r w:rsidRPr="004C28EA">
        <w:rPr>
          <w:rFonts w:ascii="Calibri" w:hAnsi="Calibri"/>
          <w:sz w:val="20"/>
          <w:szCs w:val="20"/>
        </w:rPr>
        <w:t>superiore</w:t>
      </w:r>
      <w:proofErr w:type="spellEnd"/>
      <w:r w:rsidRPr="004C28EA">
        <w:rPr>
          <w:rFonts w:ascii="Calibri" w:hAnsi="Calibri"/>
          <w:sz w:val="20"/>
          <w:szCs w:val="20"/>
        </w:rPr>
        <w:t xml:space="preserve"> di </w:t>
      </w:r>
      <w:proofErr w:type="spellStart"/>
      <w:r w:rsidRPr="004C28EA">
        <w:rPr>
          <w:rFonts w:ascii="Calibri" w:hAnsi="Calibri"/>
          <w:sz w:val="20"/>
          <w:szCs w:val="20"/>
        </w:rPr>
        <w:t>sanita</w:t>
      </w:r>
      <w:proofErr w:type="spellEnd"/>
      <w:r w:rsidRPr="004C28EA">
        <w:rPr>
          <w:rFonts w:ascii="Calibri" w:hAnsi="Calibri"/>
          <w:sz w:val="20"/>
          <w:szCs w:val="20"/>
        </w:rPr>
        <w:t>.</w:t>
      </w:r>
      <w:proofErr w:type="gramEnd"/>
      <w:r w:rsidRPr="004C28EA">
        <w:rPr>
          <w:rFonts w:ascii="Calibri" w:hAnsi="Calibri"/>
          <w:sz w:val="20"/>
          <w:szCs w:val="20"/>
        </w:rPr>
        <w:t xml:space="preserve"> 1998</w:t>
      </w:r>
      <w:proofErr w:type="gramStart"/>
      <w:r w:rsidRPr="004C28EA">
        <w:rPr>
          <w:rFonts w:ascii="Calibri" w:hAnsi="Calibri"/>
          <w:sz w:val="20"/>
          <w:szCs w:val="20"/>
        </w:rPr>
        <w:t>;34</w:t>
      </w:r>
      <w:proofErr w:type="gramEnd"/>
      <w:r w:rsidRPr="004C28EA">
        <w:rPr>
          <w:rFonts w:ascii="Calibri" w:hAnsi="Calibri"/>
          <w:sz w:val="20"/>
          <w:szCs w:val="20"/>
        </w:rPr>
        <w:t>(4):463-467.</w:t>
      </w:r>
    </w:p>
    <w:p w:rsidR="00AB1C55" w:rsidRPr="004C28EA" w:rsidRDefault="00AB1C55" w:rsidP="00AB1C55">
      <w:pPr>
        <w:rPr>
          <w:rFonts w:ascii="Calibri" w:hAnsi="Calibri"/>
          <w:sz w:val="20"/>
          <w:szCs w:val="20"/>
        </w:rPr>
      </w:pPr>
    </w:p>
    <w:p w:rsidR="00AB1C55" w:rsidRPr="004C28EA" w:rsidRDefault="00AB1C55" w:rsidP="002E2177">
      <w:pPr>
        <w:ind w:left="0" w:firstLine="0"/>
        <w:rPr>
          <w:sz w:val="20"/>
          <w:szCs w:val="20"/>
        </w:rPr>
      </w:pPr>
      <w:r w:rsidRPr="004C28EA">
        <w:rPr>
          <w:sz w:val="20"/>
          <w:szCs w:val="20"/>
        </w:rPr>
        <w:t xml:space="preserve"> A model for prediction of length of stay (LOS, in days) of stroke rehabilitation inpatients was developed, based on patients' age (years) and function at admission (scored on the Functional Independence Measure, FIMSM). One hundred and twenty-nine cases, consecutively admitted to three free-standing rehabilitation </w:t>
      </w:r>
      <w:proofErr w:type="spellStart"/>
      <w:r w:rsidRPr="004C28EA">
        <w:rPr>
          <w:sz w:val="20"/>
          <w:szCs w:val="20"/>
        </w:rPr>
        <w:t>centres</w:t>
      </w:r>
      <w:proofErr w:type="spellEnd"/>
      <w:r w:rsidRPr="004C28EA">
        <w:rPr>
          <w:sz w:val="20"/>
          <w:szCs w:val="20"/>
        </w:rPr>
        <w:t xml:space="preserve"> in Italy, were analyzed. A multiple linear regression using forward stepwise selection procedure was adopted. Median admission and discharge scores were: 57 and 75 for the total FIM score, 29 and 48 for the 13-item motor FIM </w:t>
      </w:r>
      <w:proofErr w:type="spellStart"/>
      <w:r w:rsidRPr="004C28EA">
        <w:rPr>
          <w:sz w:val="20"/>
          <w:szCs w:val="20"/>
        </w:rPr>
        <w:t>subscore</w:t>
      </w:r>
      <w:proofErr w:type="spellEnd"/>
      <w:r w:rsidRPr="004C28EA">
        <w:rPr>
          <w:sz w:val="20"/>
          <w:szCs w:val="20"/>
        </w:rPr>
        <w:t xml:space="preserve">, 29 and 30 for the 5-item cognitive FIM </w:t>
      </w:r>
      <w:proofErr w:type="spellStart"/>
      <w:r w:rsidRPr="004C28EA">
        <w:rPr>
          <w:sz w:val="20"/>
          <w:szCs w:val="20"/>
        </w:rPr>
        <w:t>subscore</w:t>
      </w:r>
      <w:proofErr w:type="spellEnd"/>
      <w:r w:rsidRPr="004C28EA">
        <w:rPr>
          <w:sz w:val="20"/>
          <w:szCs w:val="20"/>
        </w:rPr>
        <w:t xml:space="preserve"> (potential range: 18-126, 13-91, 5-35, respectively). Median LOS was 44 days (interquartile range 30-62). The </w:t>
      </w:r>
      <w:proofErr w:type="spellStart"/>
      <w:r w:rsidRPr="004C28EA">
        <w:rPr>
          <w:sz w:val="20"/>
          <w:szCs w:val="20"/>
        </w:rPr>
        <w:t>logLOS</w:t>
      </w:r>
      <w:proofErr w:type="spellEnd"/>
      <w:r w:rsidRPr="004C28EA">
        <w:rPr>
          <w:sz w:val="20"/>
          <w:szCs w:val="20"/>
        </w:rPr>
        <w:t xml:space="preserve"> predictive model included three FIM items ("toilet transfer", </w:t>
      </w:r>
      <w:proofErr w:type="spellStart"/>
      <w:r w:rsidRPr="004C28EA">
        <w:rPr>
          <w:sz w:val="20"/>
          <w:szCs w:val="20"/>
        </w:rPr>
        <w:t>TTr</w:t>
      </w:r>
      <w:proofErr w:type="spellEnd"/>
      <w:r w:rsidRPr="004C28EA">
        <w:rPr>
          <w:sz w:val="20"/>
          <w:szCs w:val="20"/>
        </w:rPr>
        <w:t xml:space="preserve">; "social interaction"; "expression") and patient's age (R2 = 0.48). </w:t>
      </w:r>
      <w:proofErr w:type="spellStart"/>
      <w:r w:rsidRPr="004C28EA">
        <w:rPr>
          <w:sz w:val="20"/>
          <w:szCs w:val="20"/>
        </w:rPr>
        <w:t>TTr</w:t>
      </w:r>
      <w:proofErr w:type="spellEnd"/>
      <w:r w:rsidRPr="004C28EA">
        <w:rPr>
          <w:sz w:val="20"/>
          <w:szCs w:val="20"/>
        </w:rPr>
        <w:t xml:space="preserve"> alone explained 31.3% of the variance of </w:t>
      </w:r>
      <w:proofErr w:type="spellStart"/>
      <w:r w:rsidRPr="004C28EA">
        <w:rPr>
          <w:sz w:val="20"/>
          <w:szCs w:val="20"/>
        </w:rPr>
        <w:t>logLOS</w:t>
      </w:r>
      <w:proofErr w:type="spellEnd"/>
      <w:r w:rsidRPr="004C28EA">
        <w:rPr>
          <w:sz w:val="20"/>
          <w:szCs w:val="20"/>
        </w:rPr>
        <w:t>. These results are consistent with previous American studies, showing that FIM scores at admission are strong predictors of patients' LOS, with the transfer items having the greatest predictive power.</w:t>
      </w:r>
    </w:p>
    <w:p w:rsidR="00AB1C55" w:rsidRPr="004C28EA" w:rsidRDefault="00AB1C55" w:rsidP="002E2177">
      <w:pPr>
        <w:ind w:left="0" w:firstLine="0"/>
      </w:pPr>
    </w:p>
    <w:p w:rsidR="00AB1C55" w:rsidRPr="0050161A" w:rsidRDefault="00AB1C55" w:rsidP="002E2177">
      <w:pPr>
        <w:ind w:left="0" w:firstLine="0"/>
        <w:rPr>
          <w:rFonts w:ascii="Calibri" w:hAnsi="Calibri"/>
          <w:sz w:val="20"/>
          <w:szCs w:val="20"/>
        </w:rPr>
      </w:pPr>
      <w:proofErr w:type="spellStart"/>
      <w:r w:rsidRPr="0050161A">
        <w:rPr>
          <w:rFonts w:ascii="Calibri" w:hAnsi="Calibri"/>
          <w:sz w:val="20"/>
          <w:szCs w:val="20"/>
        </w:rPr>
        <w:t>Gialanella</w:t>
      </w:r>
      <w:proofErr w:type="spellEnd"/>
      <w:r w:rsidRPr="0050161A">
        <w:rPr>
          <w:rFonts w:ascii="Calibri" w:hAnsi="Calibri"/>
          <w:sz w:val="20"/>
          <w:szCs w:val="20"/>
        </w:rPr>
        <w:t xml:space="preserve"> B, Santoro R, </w:t>
      </w:r>
      <w:proofErr w:type="spellStart"/>
      <w:r w:rsidRPr="0050161A">
        <w:rPr>
          <w:rFonts w:ascii="Calibri" w:hAnsi="Calibri"/>
          <w:sz w:val="20"/>
          <w:szCs w:val="20"/>
        </w:rPr>
        <w:t>Ferlucci</w:t>
      </w:r>
      <w:proofErr w:type="spellEnd"/>
      <w:r w:rsidRPr="0050161A">
        <w:rPr>
          <w:rFonts w:ascii="Calibri" w:hAnsi="Calibri"/>
          <w:sz w:val="20"/>
          <w:szCs w:val="20"/>
        </w:rPr>
        <w:t xml:space="preserve"> C. Predicting outcome after stroke: the role of basic activities of daily living. </w:t>
      </w:r>
      <w:proofErr w:type="gramStart"/>
      <w:r w:rsidRPr="0050161A">
        <w:rPr>
          <w:rFonts w:ascii="Calibri" w:hAnsi="Calibri"/>
          <w:sz w:val="20"/>
          <w:szCs w:val="20"/>
        </w:rPr>
        <w:t>European journal of physical and rehabilitation medicine.</w:t>
      </w:r>
      <w:proofErr w:type="gramEnd"/>
      <w:r w:rsidRPr="0050161A">
        <w:rPr>
          <w:rFonts w:ascii="Calibri" w:hAnsi="Calibri"/>
          <w:sz w:val="20"/>
          <w:szCs w:val="20"/>
        </w:rPr>
        <w:t xml:space="preserve"> May 28 2012.</w:t>
      </w:r>
    </w:p>
    <w:p w:rsidR="00AB1C55" w:rsidRPr="004C28EA" w:rsidRDefault="00AB1C55" w:rsidP="002E2177">
      <w:pPr>
        <w:ind w:left="0" w:firstLine="0"/>
      </w:pPr>
    </w:p>
    <w:p w:rsidR="00AB1C55" w:rsidRPr="0050161A" w:rsidRDefault="00AB1C55" w:rsidP="002E2177">
      <w:pPr>
        <w:ind w:left="0" w:firstLine="0"/>
        <w:rPr>
          <w:sz w:val="20"/>
          <w:szCs w:val="20"/>
        </w:rPr>
      </w:pPr>
      <w:r w:rsidRPr="004C28EA">
        <w:rPr>
          <w:sz w:val="20"/>
          <w:szCs w:val="20"/>
        </w:rPr>
        <w:lastRenderedPageBreak/>
        <w:t xml:space="preserve">The analysis showed that admission </w:t>
      </w:r>
      <w:proofErr w:type="spellStart"/>
      <w:r w:rsidRPr="004C28EA">
        <w:rPr>
          <w:sz w:val="20"/>
          <w:szCs w:val="20"/>
        </w:rPr>
        <w:t>Fugl</w:t>
      </w:r>
      <w:proofErr w:type="spellEnd"/>
      <w:r w:rsidRPr="004C28EA">
        <w:rPr>
          <w:sz w:val="20"/>
          <w:szCs w:val="20"/>
        </w:rPr>
        <w:t>-Meyer, neglect, total, motor and cognitive FIM scores were the most important predictors of FIM outc</w:t>
      </w:r>
      <w:r w:rsidRPr="0038472F">
        <w:rPr>
          <w:sz w:val="20"/>
          <w:szCs w:val="20"/>
        </w:rPr>
        <w:t xml:space="preserve">omes, while admission NIHSS score was the only predictor of discharge destination. Conversely, when admission single FIM items were included in the statistical model, admission </w:t>
      </w:r>
      <w:proofErr w:type="spellStart"/>
      <w:r w:rsidRPr="0038472F">
        <w:rPr>
          <w:sz w:val="20"/>
          <w:szCs w:val="20"/>
        </w:rPr>
        <w:t>Fugl</w:t>
      </w:r>
      <w:proofErr w:type="spellEnd"/>
      <w:r w:rsidRPr="0038472F">
        <w:rPr>
          <w:sz w:val="20"/>
          <w:szCs w:val="20"/>
        </w:rPr>
        <w:t>-Meyer, neglect, grooming, dressing upper body, and social interaction scor</w:t>
      </w:r>
      <w:r w:rsidRPr="0050161A">
        <w:rPr>
          <w:sz w:val="20"/>
          <w:szCs w:val="20"/>
        </w:rPr>
        <w:t>es were the most important predictors of FIM outcomes, while admission memory and bowel control scores were the only predictors of discharge destination. The study indicates that performances of basic ADLs are important stroke outcome predictors and among which social interaction, grooming, upper body dressing, and bowel control are the most important. The results of this study suggests that, when designing other studies on stroke outcome predictions, researchers should also include tests which assess performances of basic ADLs as independent variables, because this may allow identification of new prognostic indicators that can be helpful for the physician for managing stroke patients at the end of the rehabilitation period.</w:t>
      </w:r>
    </w:p>
    <w:p w:rsidR="00AB1C55" w:rsidRPr="0050161A" w:rsidRDefault="00AB1C55" w:rsidP="002E2177">
      <w:pPr>
        <w:ind w:left="0" w:firstLine="0"/>
        <w:rPr>
          <w:sz w:val="20"/>
          <w:szCs w:val="20"/>
        </w:rPr>
      </w:pPr>
    </w:p>
    <w:p w:rsidR="00AB1C55" w:rsidRPr="0050161A" w:rsidRDefault="00AB1C55" w:rsidP="002E2177">
      <w:pPr>
        <w:ind w:left="0" w:firstLine="0"/>
        <w:rPr>
          <w:rFonts w:ascii="Calibri" w:hAnsi="Calibri"/>
          <w:sz w:val="20"/>
          <w:szCs w:val="20"/>
        </w:rPr>
      </w:pPr>
      <w:r w:rsidRPr="0050161A">
        <w:rPr>
          <w:rFonts w:ascii="Calibri" w:hAnsi="Calibri"/>
          <w:sz w:val="20"/>
          <w:szCs w:val="20"/>
        </w:rPr>
        <w:t xml:space="preserve">Horn SD, </w:t>
      </w:r>
      <w:proofErr w:type="spellStart"/>
      <w:r w:rsidRPr="0050161A">
        <w:rPr>
          <w:rFonts w:ascii="Calibri" w:hAnsi="Calibri"/>
          <w:sz w:val="20"/>
          <w:szCs w:val="20"/>
        </w:rPr>
        <w:t>DeJong</w:t>
      </w:r>
      <w:proofErr w:type="spellEnd"/>
      <w:r w:rsidRPr="0050161A">
        <w:rPr>
          <w:rFonts w:ascii="Calibri" w:hAnsi="Calibri"/>
          <w:sz w:val="20"/>
          <w:szCs w:val="20"/>
        </w:rPr>
        <w:t xml:space="preserve"> G, </w:t>
      </w:r>
      <w:proofErr w:type="spellStart"/>
      <w:r w:rsidRPr="0050161A">
        <w:rPr>
          <w:rFonts w:ascii="Calibri" w:hAnsi="Calibri"/>
          <w:sz w:val="20"/>
          <w:szCs w:val="20"/>
        </w:rPr>
        <w:t>Smout</w:t>
      </w:r>
      <w:proofErr w:type="spellEnd"/>
      <w:r w:rsidRPr="0050161A">
        <w:rPr>
          <w:rFonts w:ascii="Calibri" w:hAnsi="Calibri"/>
          <w:sz w:val="20"/>
          <w:szCs w:val="20"/>
        </w:rPr>
        <w:t xml:space="preserve"> RJ, Gassaway J, James R, Conroy B. Stroke rehabilitation patients, practice, and outcomes: is earlier and more aggressive therapy better? </w:t>
      </w:r>
      <w:proofErr w:type="gramStart"/>
      <w:r w:rsidRPr="0050161A">
        <w:rPr>
          <w:rFonts w:ascii="Calibri" w:hAnsi="Calibri"/>
          <w:sz w:val="20"/>
          <w:szCs w:val="20"/>
        </w:rPr>
        <w:t>Archives of physical medicine and rehabilitation.</w:t>
      </w:r>
      <w:proofErr w:type="gramEnd"/>
      <w:r w:rsidRPr="0050161A">
        <w:rPr>
          <w:rFonts w:ascii="Calibri" w:hAnsi="Calibri"/>
          <w:sz w:val="20"/>
          <w:szCs w:val="20"/>
        </w:rPr>
        <w:t xml:space="preserve"> Dec 2005</w:t>
      </w:r>
      <w:proofErr w:type="gramStart"/>
      <w:r w:rsidRPr="0050161A">
        <w:rPr>
          <w:rFonts w:ascii="Calibri" w:hAnsi="Calibri"/>
          <w:sz w:val="20"/>
          <w:szCs w:val="20"/>
        </w:rPr>
        <w:t>;86</w:t>
      </w:r>
      <w:proofErr w:type="gramEnd"/>
      <w:r w:rsidRPr="0050161A">
        <w:rPr>
          <w:rFonts w:ascii="Calibri" w:hAnsi="Calibri"/>
          <w:sz w:val="20"/>
          <w:szCs w:val="20"/>
        </w:rPr>
        <w:t xml:space="preserve">(12 </w:t>
      </w:r>
      <w:proofErr w:type="spellStart"/>
      <w:r w:rsidRPr="0050161A">
        <w:rPr>
          <w:rFonts w:ascii="Calibri" w:hAnsi="Calibri"/>
          <w:sz w:val="20"/>
          <w:szCs w:val="20"/>
        </w:rPr>
        <w:t>Suppl</w:t>
      </w:r>
      <w:proofErr w:type="spellEnd"/>
      <w:r w:rsidRPr="0050161A">
        <w:rPr>
          <w:rFonts w:ascii="Calibri" w:hAnsi="Calibri"/>
          <w:sz w:val="20"/>
          <w:szCs w:val="20"/>
        </w:rPr>
        <w:t xml:space="preserve"> 2):S101-S114.</w:t>
      </w:r>
    </w:p>
    <w:p w:rsidR="00AB1C55" w:rsidRPr="0050161A" w:rsidRDefault="00AB1C55" w:rsidP="002E2177">
      <w:pPr>
        <w:ind w:left="0" w:firstLine="0"/>
        <w:rPr>
          <w:rFonts w:ascii="Calibri" w:hAnsi="Calibri"/>
          <w:sz w:val="20"/>
          <w:szCs w:val="20"/>
        </w:rPr>
      </w:pPr>
    </w:p>
    <w:p w:rsidR="00AB1C55" w:rsidRPr="0050161A" w:rsidRDefault="00AB1C55" w:rsidP="002E2177">
      <w:pPr>
        <w:ind w:left="0" w:firstLine="0"/>
        <w:rPr>
          <w:sz w:val="20"/>
          <w:szCs w:val="20"/>
        </w:rPr>
      </w:pPr>
      <w:r w:rsidRPr="004C28EA">
        <w:rPr>
          <w:sz w:val="20"/>
          <w:szCs w:val="20"/>
        </w:rPr>
        <w:t>Controlling for patient differences, va</w:t>
      </w:r>
      <w:r w:rsidRPr="0038472F">
        <w:rPr>
          <w:sz w:val="20"/>
          <w:szCs w:val="20"/>
        </w:rPr>
        <w:t>rious activities and interventions were associated with better outcomes including earlier initiation of rehabilitation, more time spent per day in higher-level rehabilitation activities such as gait, upper-extremity control, and problem solving, use of new</w:t>
      </w:r>
      <w:r w:rsidRPr="0050161A">
        <w:rPr>
          <w:sz w:val="20"/>
          <w:szCs w:val="20"/>
        </w:rPr>
        <w:t xml:space="preserve">er psychiatric medications, and enteral feeding. Several findings part with conventional practice, such as starting </w:t>
      </w:r>
      <w:proofErr w:type="spellStart"/>
      <w:r w:rsidRPr="0050161A">
        <w:rPr>
          <w:sz w:val="20"/>
          <w:szCs w:val="20"/>
        </w:rPr>
        <w:t>gait</w:t>
      </w:r>
      <w:proofErr w:type="spellEnd"/>
      <w:r w:rsidRPr="0050161A">
        <w:rPr>
          <w:sz w:val="20"/>
          <w:szCs w:val="20"/>
        </w:rPr>
        <w:t xml:space="preserve"> training in the first 3 hours of physical therapy, even for low-level patients, was associated with better outcomes. Specific therapy activities and interventions are associated with better outcomes. Earlier rehabilitation admission, higher-level activities early in the rehabilitation process, tube feeding, and newer medications are associated with better stroke rehabilitation outcomes.</w:t>
      </w:r>
    </w:p>
    <w:p w:rsidR="00AB1C55" w:rsidRPr="0050161A" w:rsidRDefault="00AB1C55" w:rsidP="002E2177">
      <w:pPr>
        <w:ind w:left="0" w:firstLine="0"/>
        <w:rPr>
          <w:sz w:val="20"/>
          <w:szCs w:val="20"/>
        </w:rPr>
      </w:pPr>
    </w:p>
    <w:p w:rsidR="00AB1C55" w:rsidRPr="0050161A" w:rsidRDefault="00AB1C55" w:rsidP="002E2177">
      <w:pPr>
        <w:ind w:left="0" w:firstLine="0"/>
        <w:rPr>
          <w:rFonts w:ascii="Calibri" w:hAnsi="Calibri"/>
          <w:sz w:val="20"/>
          <w:szCs w:val="20"/>
        </w:rPr>
      </w:pPr>
      <w:r w:rsidRPr="0050161A">
        <w:rPr>
          <w:rFonts w:ascii="Calibri" w:hAnsi="Calibri"/>
          <w:sz w:val="20"/>
          <w:szCs w:val="20"/>
        </w:rPr>
        <w:t xml:space="preserve">Reistetter TA, Graham JE, Deutsch A, Granger CV, </w:t>
      </w:r>
      <w:proofErr w:type="spellStart"/>
      <w:r w:rsidRPr="0050161A">
        <w:rPr>
          <w:rFonts w:ascii="Calibri" w:hAnsi="Calibri"/>
          <w:sz w:val="20"/>
          <w:szCs w:val="20"/>
        </w:rPr>
        <w:t>Markello</w:t>
      </w:r>
      <w:proofErr w:type="spellEnd"/>
      <w:r w:rsidRPr="0050161A">
        <w:rPr>
          <w:rFonts w:ascii="Calibri" w:hAnsi="Calibri"/>
          <w:sz w:val="20"/>
          <w:szCs w:val="20"/>
        </w:rPr>
        <w:t xml:space="preserve"> S, Ottenbacher KJ. </w:t>
      </w:r>
      <w:proofErr w:type="gramStart"/>
      <w:r w:rsidRPr="0050161A">
        <w:rPr>
          <w:rFonts w:ascii="Calibri" w:hAnsi="Calibri"/>
          <w:sz w:val="20"/>
          <w:szCs w:val="20"/>
        </w:rPr>
        <w:t>Utility of functional status for classifying community versus institutional discharges after inpatient rehabilitation for stroke.</w:t>
      </w:r>
      <w:proofErr w:type="gramEnd"/>
      <w:r w:rsidRPr="0050161A">
        <w:rPr>
          <w:rFonts w:ascii="Calibri" w:hAnsi="Calibri"/>
          <w:sz w:val="20"/>
          <w:szCs w:val="20"/>
        </w:rPr>
        <w:t xml:space="preserve"> </w:t>
      </w:r>
      <w:proofErr w:type="gramStart"/>
      <w:r w:rsidRPr="0050161A">
        <w:rPr>
          <w:rFonts w:ascii="Calibri" w:hAnsi="Calibri"/>
          <w:sz w:val="20"/>
          <w:szCs w:val="20"/>
        </w:rPr>
        <w:t>Archives of physical medicine and rehabilitation.</w:t>
      </w:r>
      <w:proofErr w:type="gramEnd"/>
      <w:r w:rsidRPr="0050161A">
        <w:rPr>
          <w:rFonts w:ascii="Calibri" w:hAnsi="Calibri"/>
          <w:sz w:val="20"/>
          <w:szCs w:val="20"/>
        </w:rPr>
        <w:t xml:space="preserve"> Mar 2010</w:t>
      </w:r>
      <w:proofErr w:type="gramStart"/>
      <w:r w:rsidRPr="0050161A">
        <w:rPr>
          <w:rFonts w:ascii="Calibri" w:hAnsi="Calibri"/>
          <w:sz w:val="20"/>
          <w:szCs w:val="20"/>
        </w:rPr>
        <w:t>;91</w:t>
      </w:r>
      <w:proofErr w:type="gramEnd"/>
      <w:r w:rsidRPr="0050161A">
        <w:rPr>
          <w:rFonts w:ascii="Calibri" w:hAnsi="Calibri"/>
          <w:sz w:val="20"/>
          <w:szCs w:val="20"/>
        </w:rPr>
        <w:t>(3):345-350.</w:t>
      </w:r>
    </w:p>
    <w:p w:rsidR="00A22E9A" w:rsidRPr="0050161A" w:rsidRDefault="00A22E9A" w:rsidP="002E2177">
      <w:pPr>
        <w:ind w:left="0" w:firstLine="0"/>
        <w:rPr>
          <w:rFonts w:ascii="Calibri" w:hAnsi="Calibri"/>
          <w:sz w:val="20"/>
          <w:szCs w:val="20"/>
        </w:rPr>
      </w:pPr>
    </w:p>
    <w:p w:rsidR="00AB1C55" w:rsidRPr="0050161A" w:rsidRDefault="00AB1C55" w:rsidP="002E2177">
      <w:pPr>
        <w:ind w:left="0" w:firstLine="0"/>
        <w:rPr>
          <w:rFonts w:ascii="Calibri" w:hAnsi="Calibri"/>
          <w:sz w:val="20"/>
          <w:szCs w:val="20"/>
        </w:rPr>
      </w:pPr>
      <w:r w:rsidRPr="0050161A">
        <w:rPr>
          <w:rFonts w:ascii="Calibri" w:hAnsi="Calibri"/>
          <w:sz w:val="20"/>
          <w:szCs w:val="20"/>
        </w:rPr>
        <w:t xml:space="preserve">The authors aimed evaluate the ability of patient functional status to differentiate between community and institutional discharges after rehabilitation for stroke </w:t>
      </w:r>
      <w:proofErr w:type="gramStart"/>
      <w:r w:rsidRPr="0050161A">
        <w:rPr>
          <w:rFonts w:ascii="Calibri" w:hAnsi="Calibri"/>
          <w:sz w:val="20"/>
          <w:szCs w:val="20"/>
        </w:rPr>
        <w:t>Approximately</w:t>
      </w:r>
      <w:proofErr w:type="gramEnd"/>
      <w:r w:rsidRPr="0050161A">
        <w:rPr>
          <w:rFonts w:ascii="Calibri" w:hAnsi="Calibri"/>
          <w:sz w:val="20"/>
          <w:szCs w:val="20"/>
        </w:rPr>
        <w:t xml:space="preserve"> 71% of the sample was discharged to the community. Receiver operating characteristic curve analyses revealed that FIM total performed as well as or better than FIM motor and FIM cognition subscales in differentiating discharge settings. Area under the curve for FIM total was .85, indicating very good ability to identify persons discharged to the community. A FIM total rating of 78 was identified as the optimal cut point for distinguishing between positive (community) and negative (institution) tests. This cut point yielded balanced sensitivity and specificity (both=.77). Discharge planning is complex, involving many factors. Identifying a functional threshold for classifying discharge settings can provide important information to assist in this process. Additional research is needed to determine if the risks and benefits of classification errors justify shifting the cut point to weight either sensitivity or specificity of FIM ratings.</w:t>
      </w:r>
    </w:p>
    <w:p w:rsidR="00AB1C55" w:rsidRPr="0050161A" w:rsidRDefault="00AB1C55" w:rsidP="002E2177">
      <w:pPr>
        <w:ind w:left="0" w:firstLine="0"/>
        <w:rPr>
          <w:rFonts w:ascii="Calibri" w:hAnsi="Calibri"/>
          <w:sz w:val="20"/>
          <w:szCs w:val="20"/>
        </w:rPr>
      </w:pPr>
    </w:p>
    <w:p w:rsidR="00AB1C55" w:rsidRPr="0050161A" w:rsidRDefault="00AB1C55" w:rsidP="00AB1C55">
      <w:pPr>
        <w:rPr>
          <w:rFonts w:ascii="Calibri" w:hAnsi="Calibri"/>
          <w:sz w:val="20"/>
          <w:szCs w:val="20"/>
        </w:rPr>
      </w:pPr>
      <w:r w:rsidRPr="0050161A">
        <w:rPr>
          <w:rFonts w:ascii="Calibri" w:hAnsi="Calibri"/>
          <w:sz w:val="20"/>
          <w:szCs w:val="20"/>
        </w:rPr>
        <w:t xml:space="preserve">Tan WH, Goldstein R, Gerrard P, et al. Outcomes and predictors in burn rehabilitation. Journal of burn care &amp; </w:t>
      </w:r>
      <w:proofErr w:type="gramStart"/>
      <w:r w:rsidRPr="0050161A">
        <w:rPr>
          <w:rFonts w:ascii="Calibri" w:hAnsi="Calibri"/>
          <w:sz w:val="20"/>
          <w:szCs w:val="20"/>
        </w:rPr>
        <w:t>research :</w:t>
      </w:r>
      <w:proofErr w:type="gramEnd"/>
      <w:r w:rsidRPr="0050161A">
        <w:rPr>
          <w:rFonts w:ascii="Calibri" w:hAnsi="Calibri"/>
          <w:sz w:val="20"/>
          <w:szCs w:val="20"/>
        </w:rPr>
        <w:t xml:space="preserve"> official publication of the American Burn Association. Jan-Feb 2012</w:t>
      </w:r>
      <w:proofErr w:type="gramStart"/>
      <w:r w:rsidRPr="0050161A">
        <w:rPr>
          <w:rFonts w:ascii="Calibri" w:hAnsi="Calibri"/>
          <w:sz w:val="20"/>
          <w:szCs w:val="20"/>
        </w:rPr>
        <w:t>;33</w:t>
      </w:r>
      <w:proofErr w:type="gramEnd"/>
      <w:r w:rsidRPr="0050161A">
        <w:rPr>
          <w:rFonts w:ascii="Calibri" w:hAnsi="Calibri"/>
          <w:sz w:val="20"/>
          <w:szCs w:val="20"/>
        </w:rPr>
        <w:t>(1):110-117.</w:t>
      </w:r>
    </w:p>
    <w:p w:rsidR="00AB1C55" w:rsidRPr="00EB6169" w:rsidRDefault="00AB1C55" w:rsidP="00AB1C55">
      <w:pPr>
        <w:rPr>
          <w:rFonts w:ascii="Calibri" w:hAnsi="Calibri"/>
          <w:color w:val="0000FF"/>
          <w:sz w:val="20"/>
          <w:szCs w:val="20"/>
        </w:rPr>
      </w:pPr>
    </w:p>
    <w:p w:rsidR="00AB1C55" w:rsidRPr="00AB1C55" w:rsidRDefault="00AB1C55" w:rsidP="002E2177">
      <w:pPr>
        <w:ind w:left="0" w:firstLine="0"/>
        <w:rPr>
          <w:sz w:val="20"/>
          <w:szCs w:val="20"/>
        </w:rPr>
      </w:pPr>
      <w:r w:rsidRPr="00AB1C55">
        <w:rPr>
          <w:sz w:val="20"/>
          <w:szCs w:val="20"/>
        </w:rPr>
        <w:t>Significant predictors of outcomes in burn rehabilitation include age, FIM(R) admission, onset days, employment status, and marital status. Inpatient rehabilitation is critical to community reintegration of burn survivors. Survivors who are young, married, employed, and higher functioning at the time of admission to rehabilitation demonstrate the best outcomes. This research will help assess the rehabilitation potential of burn survivors and inform resource allocation.</w:t>
      </w:r>
    </w:p>
    <w:sectPr w:rsidR="00AB1C55" w:rsidRPr="00AB1C55" w:rsidSect="00D42AB4">
      <w:headerReference w:type="even" r:id="rId17"/>
      <w:headerReference w:type="default" r:id="rId18"/>
      <w:footerReference w:type="even" r:id="rId19"/>
      <w:footerReference w:type="default" r:id="rId20"/>
      <w:headerReference w:type="first" r:id="rId21"/>
      <w:footerReference w:type="firs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DD0" w:rsidRDefault="001F3DD0" w:rsidP="007E37A5">
      <w:r>
        <w:separator/>
      </w:r>
    </w:p>
  </w:endnote>
  <w:endnote w:type="continuationSeparator" w:id="0">
    <w:p w:rsidR="001F3DD0" w:rsidRDefault="001F3DD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DD0" w:rsidRDefault="001F3D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DD0" w:rsidRDefault="001F3DD0">
    <w:pPr>
      <w:pStyle w:val="Footer"/>
    </w:pPr>
    <w:r w:rsidRPr="00395263">
      <w:t xml:space="preserve">Version </w:t>
    </w:r>
    <w:proofErr w:type="gramStart"/>
    <w:r w:rsidRPr="00395263">
      <w:t xml:space="preserve">6.5 </w:t>
    </w:r>
    <w:r>
      <w:t xml:space="preserve"> </w:t>
    </w:r>
    <w:r w:rsidRPr="00395263">
      <w:t>05</w:t>
    </w:r>
    <w:proofErr w:type="gramEnd"/>
    <w:r w:rsidRPr="00395263">
      <w:t>/</w:t>
    </w:r>
    <w:r>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3900EC">
      <w:rPr>
        <w:noProof/>
      </w:rPr>
      <w:t>7</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DD0" w:rsidRDefault="001F3D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DD0" w:rsidRDefault="001F3DD0" w:rsidP="007E37A5">
      <w:r>
        <w:separator/>
      </w:r>
    </w:p>
  </w:footnote>
  <w:footnote w:type="continuationSeparator" w:id="0">
    <w:p w:rsidR="001F3DD0" w:rsidRDefault="001F3DD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DD0" w:rsidRDefault="001F3D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1F3DD0" w:rsidRDefault="001F3DD0"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DD0" w:rsidRDefault="001F3D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asv5x9fqt2r9kewesvvw005a5r99rx0w95s&quot;&gt;Dissertation (2) Copy&lt;record-ids&gt;&lt;item&gt;1&lt;/item&gt;&lt;item&gt;13&lt;/item&gt;&lt;item&gt;26&lt;/item&gt;&lt;item&gt;100&lt;/item&gt;&lt;item&gt;104&lt;/item&gt;&lt;item&gt;106&lt;/item&gt;&lt;item&gt;107&lt;/item&gt;&lt;item&gt;109&lt;/item&gt;&lt;/record-ids&gt;&lt;/item&gt;&lt;/Libraries&gt;"/>
  </w:docVars>
  <w:rsids>
    <w:rsidRoot w:val="00496AF8"/>
    <w:rsid w:val="00015986"/>
    <w:rsid w:val="000160E6"/>
    <w:rsid w:val="00024526"/>
    <w:rsid w:val="00030F43"/>
    <w:rsid w:val="00061CF3"/>
    <w:rsid w:val="00063601"/>
    <w:rsid w:val="00073079"/>
    <w:rsid w:val="0007593F"/>
    <w:rsid w:val="00095EC9"/>
    <w:rsid w:val="00096A37"/>
    <w:rsid w:val="000A0810"/>
    <w:rsid w:val="000B627F"/>
    <w:rsid w:val="000D1779"/>
    <w:rsid w:val="000D649E"/>
    <w:rsid w:val="000D6D06"/>
    <w:rsid w:val="00114848"/>
    <w:rsid w:val="00120934"/>
    <w:rsid w:val="00132070"/>
    <w:rsid w:val="00141875"/>
    <w:rsid w:val="0014347E"/>
    <w:rsid w:val="001551F6"/>
    <w:rsid w:val="0015535B"/>
    <w:rsid w:val="001556FF"/>
    <w:rsid w:val="00162036"/>
    <w:rsid w:val="001632DD"/>
    <w:rsid w:val="00176E60"/>
    <w:rsid w:val="00194D9A"/>
    <w:rsid w:val="001A196B"/>
    <w:rsid w:val="001A6D05"/>
    <w:rsid w:val="001B38BF"/>
    <w:rsid w:val="001B772D"/>
    <w:rsid w:val="001D5B5D"/>
    <w:rsid w:val="001F3DD0"/>
    <w:rsid w:val="00201FF9"/>
    <w:rsid w:val="00205857"/>
    <w:rsid w:val="00235ADC"/>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2B1D"/>
    <w:rsid w:val="00307FA5"/>
    <w:rsid w:val="00324D64"/>
    <w:rsid w:val="00352B52"/>
    <w:rsid w:val="00363ECC"/>
    <w:rsid w:val="0038472F"/>
    <w:rsid w:val="003900EC"/>
    <w:rsid w:val="0039020B"/>
    <w:rsid w:val="00395263"/>
    <w:rsid w:val="003956E0"/>
    <w:rsid w:val="0039609A"/>
    <w:rsid w:val="00397500"/>
    <w:rsid w:val="003B65CE"/>
    <w:rsid w:val="003D405D"/>
    <w:rsid w:val="003D6D6B"/>
    <w:rsid w:val="003E039E"/>
    <w:rsid w:val="00422917"/>
    <w:rsid w:val="00440687"/>
    <w:rsid w:val="0044131D"/>
    <w:rsid w:val="00441ADA"/>
    <w:rsid w:val="00457E46"/>
    <w:rsid w:val="00460750"/>
    <w:rsid w:val="00485ABB"/>
    <w:rsid w:val="00496AF8"/>
    <w:rsid w:val="004A575D"/>
    <w:rsid w:val="004B65C6"/>
    <w:rsid w:val="004C28EA"/>
    <w:rsid w:val="004D1DC7"/>
    <w:rsid w:val="00500B0C"/>
    <w:rsid w:val="0050161A"/>
    <w:rsid w:val="00537150"/>
    <w:rsid w:val="00540984"/>
    <w:rsid w:val="00543851"/>
    <w:rsid w:val="0055559D"/>
    <w:rsid w:val="005569AE"/>
    <w:rsid w:val="005857F8"/>
    <w:rsid w:val="005B0D18"/>
    <w:rsid w:val="005B12C3"/>
    <w:rsid w:val="005B409D"/>
    <w:rsid w:val="005D0FDB"/>
    <w:rsid w:val="005D6D59"/>
    <w:rsid w:val="005F71E3"/>
    <w:rsid w:val="00617390"/>
    <w:rsid w:val="00623420"/>
    <w:rsid w:val="00634768"/>
    <w:rsid w:val="0063596F"/>
    <w:rsid w:val="006709EB"/>
    <w:rsid w:val="00672824"/>
    <w:rsid w:val="0068184A"/>
    <w:rsid w:val="006C7F30"/>
    <w:rsid w:val="006E479A"/>
    <w:rsid w:val="006F4B7F"/>
    <w:rsid w:val="006F760B"/>
    <w:rsid w:val="00701CC3"/>
    <w:rsid w:val="00724801"/>
    <w:rsid w:val="00734949"/>
    <w:rsid w:val="00736AEC"/>
    <w:rsid w:val="00736E0F"/>
    <w:rsid w:val="007434FA"/>
    <w:rsid w:val="00743BCB"/>
    <w:rsid w:val="007573F0"/>
    <w:rsid w:val="00765156"/>
    <w:rsid w:val="00767669"/>
    <w:rsid w:val="00772D56"/>
    <w:rsid w:val="00772FDC"/>
    <w:rsid w:val="00773485"/>
    <w:rsid w:val="00776E8F"/>
    <w:rsid w:val="00776F6D"/>
    <w:rsid w:val="007C0297"/>
    <w:rsid w:val="007C1887"/>
    <w:rsid w:val="007D5DC6"/>
    <w:rsid w:val="007D7BE0"/>
    <w:rsid w:val="007E37A5"/>
    <w:rsid w:val="007F49D8"/>
    <w:rsid w:val="00805940"/>
    <w:rsid w:val="00837121"/>
    <w:rsid w:val="008471E5"/>
    <w:rsid w:val="00850C35"/>
    <w:rsid w:val="00863E43"/>
    <w:rsid w:val="008647C3"/>
    <w:rsid w:val="00870987"/>
    <w:rsid w:val="0087564A"/>
    <w:rsid w:val="00881160"/>
    <w:rsid w:val="0088371C"/>
    <w:rsid w:val="008A45F3"/>
    <w:rsid w:val="008B51D9"/>
    <w:rsid w:val="008B652E"/>
    <w:rsid w:val="008C0577"/>
    <w:rsid w:val="008F1DC6"/>
    <w:rsid w:val="00905C5B"/>
    <w:rsid w:val="009150DC"/>
    <w:rsid w:val="00923295"/>
    <w:rsid w:val="00935265"/>
    <w:rsid w:val="0094689F"/>
    <w:rsid w:val="009477D6"/>
    <w:rsid w:val="00953ED3"/>
    <w:rsid w:val="00964A5B"/>
    <w:rsid w:val="00965FF6"/>
    <w:rsid w:val="00970B83"/>
    <w:rsid w:val="009846D6"/>
    <w:rsid w:val="0098657F"/>
    <w:rsid w:val="009A3236"/>
    <w:rsid w:val="009B5A93"/>
    <w:rsid w:val="009B5BEA"/>
    <w:rsid w:val="009E37BD"/>
    <w:rsid w:val="009E6B86"/>
    <w:rsid w:val="00A12762"/>
    <w:rsid w:val="00A13867"/>
    <w:rsid w:val="00A22E9A"/>
    <w:rsid w:val="00A421D4"/>
    <w:rsid w:val="00A44FF0"/>
    <w:rsid w:val="00A50E55"/>
    <w:rsid w:val="00A87151"/>
    <w:rsid w:val="00A91A47"/>
    <w:rsid w:val="00A95D2B"/>
    <w:rsid w:val="00AA5587"/>
    <w:rsid w:val="00AB1C55"/>
    <w:rsid w:val="00AD79C8"/>
    <w:rsid w:val="00AE6CE0"/>
    <w:rsid w:val="00B058A6"/>
    <w:rsid w:val="00B117D0"/>
    <w:rsid w:val="00B13998"/>
    <w:rsid w:val="00B439DD"/>
    <w:rsid w:val="00B52E0F"/>
    <w:rsid w:val="00B74629"/>
    <w:rsid w:val="00B91F58"/>
    <w:rsid w:val="00BA579E"/>
    <w:rsid w:val="00BB2616"/>
    <w:rsid w:val="00BD6508"/>
    <w:rsid w:val="00BE2295"/>
    <w:rsid w:val="00BE6373"/>
    <w:rsid w:val="00BF533A"/>
    <w:rsid w:val="00C46677"/>
    <w:rsid w:val="00C5180E"/>
    <w:rsid w:val="00C54E40"/>
    <w:rsid w:val="00C55F56"/>
    <w:rsid w:val="00C57BA4"/>
    <w:rsid w:val="00C84623"/>
    <w:rsid w:val="00CB06C9"/>
    <w:rsid w:val="00CB271C"/>
    <w:rsid w:val="00CD65F8"/>
    <w:rsid w:val="00CE4F96"/>
    <w:rsid w:val="00CF0AB1"/>
    <w:rsid w:val="00CF2342"/>
    <w:rsid w:val="00CF4B9B"/>
    <w:rsid w:val="00CF55E6"/>
    <w:rsid w:val="00CF772F"/>
    <w:rsid w:val="00D048DB"/>
    <w:rsid w:val="00D14F0B"/>
    <w:rsid w:val="00D178CA"/>
    <w:rsid w:val="00D3311C"/>
    <w:rsid w:val="00D42AB4"/>
    <w:rsid w:val="00D53405"/>
    <w:rsid w:val="00D5457B"/>
    <w:rsid w:val="00D72995"/>
    <w:rsid w:val="00DA7FA2"/>
    <w:rsid w:val="00DC2D2C"/>
    <w:rsid w:val="00DC2D8D"/>
    <w:rsid w:val="00DE50D8"/>
    <w:rsid w:val="00DF278A"/>
    <w:rsid w:val="00DF788A"/>
    <w:rsid w:val="00E1664B"/>
    <w:rsid w:val="00E30D12"/>
    <w:rsid w:val="00E35241"/>
    <w:rsid w:val="00E41417"/>
    <w:rsid w:val="00E57BE2"/>
    <w:rsid w:val="00E62A95"/>
    <w:rsid w:val="00E746A2"/>
    <w:rsid w:val="00E90D06"/>
    <w:rsid w:val="00E97E59"/>
    <w:rsid w:val="00EA79C9"/>
    <w:rsid w:val="00EB66AC"/>
    <w:rsid w:val="00EE1F87"/>
    <w:rsid w:val="00EE3931"/>
    <w:rsid w:val="00EE5AF6"/>
    <w:rsid w:val="00EF2CEF"/>
    <w:rsid w:val="00F431D8"/>
    <w:rsid w:val="00F45DC1"/>
    <w:rsid w:val="00F67706"/>
    <w:rsid w:val="00F92D75"/>
    <w:rsid w:val="00F97327"/>
    <w:rsid w:val="00FA296F"/>
    <w:rsid w:val="00FA5634"/>
    <w:rsid w:val="00FA7323"/>
    <w:rsid w:val="00FC32B7"/>
    <w:rsid w:val="00FC32D3"/>
    <w:rsid w:val="00FD4D82"/>
    <w:rsid w:val="00FE3648"/>
    <w:rsid w:val="00FE57AE"/>
    <w:rsid w:val="00FF6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661607">
      <w:bodyDiv w:val="1"/>
      <w:marLeft w:val="0"/>
      <w:marRight w:val="0"/>
      <w:marTop w:val="0"/>
      <w:marBottom w:val="0"/>
      <w:divBdr>
        <w:top w:val="none" w:sz="0" w:space="0" w:color="auto"/>
        <w:left w:val="none" w:sz="0" w:space="0" w:color="auto"/>
        <w:bottom w:val="none" w:sz="0" w:space="0" w:color="auto"/>
        <w:right w:val="none" w:sz="0" w:space="0" w:color="auto"/>
      </w:divBdr>
    </w:div>
    <w:div w:id="189615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3D737C"/>
    <w:rsid w:val="00455EB5"/>
    <w:rsid w:val="00461C1C"/>
    <w:rsid w:val="004E2027"/>
    <w:rsid w:val="004F5A13"/>
    <w:rsid w:val="006D7CA6"/>
    <w:rsid w:val="008F6A9B"/>
    <w:rsid w:val="00AF0E08"/>
    <w:rsid w:val="00C03643"/>
    <w:rsid w:val="00C2797F"/>
    <w:rsid w:val="00C80225"/>
    <w:rsid w:val="00D228C9"/>
    <w:rsid w:val="00DB5324"/>
    <w:rsid w:val="00E97654"/>
    <w:rsid w:val="00EA555A"/>
    <w:rsid w:val="00EF0F1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1EC3B-54C0-43BB-8D4F-17B2CAD9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D874463B.dotm</Template>
  <TotalTime>1</TotalTime>
  <Pages>7</Pages>
  <Words>3378</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DiVita, Maggie</cp:lastModifiedBy>
  <cp:revision>4</cp:revision>
  <dcterms:created xsi:type="dcterms:W3CDTF">2014-12-05T19:44:00Z</dcterms:created>
  <dcterms:modified xsi:type="dcterms:W3CDTF">2014-12-05T19:46:00Z</dcterms:modified>
</cp:coreProperties>
</file>